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512.0" w:type="dxa"/>
        <w:jc w:val="left"/>
        <w:tblInd w:w="0.0" w:type="dxa"/>
        <w:tblLayout w:type="fixed"/>
        <w:tblLook w:val="0000"/>
      </w:tblPr>
      <w:tblGrid>
        <w:gridCol w:w="1804"/>
        <w:gridCol w:w="8708"/>
        <w:tblGridChange w:id="0">
          <w:tblGrid>
            <w:gridCol w:w="1804"/>
            <w:gridCol w:w="8708"/>
          </w:tblGrid>
        </w:tblGridChange>
      </w:tblGrid>
      <w:tr>
        <w:trPr>
          <w:cantSplit w:val="0"/>
          <w:tblHeader w:val="0"/>
        </w:trPr>
        <w:tc>
          <w:tcPr/>
          <w:p w:rsidR="00000000" w:rsidDel="00000000" w:rsidP="00000000" w:rsidRDefault="00000000" w:rsidRPr="00000000" w14:paraId="00000002">
            <w:pPr>
              <w:pStyle w:val="Heading1"/>
              <w:pageBreakBefore w:val="0"/>
              <w:pBdr>
                <w:top w:space="0" w:sz="0" w:val="nil"/>
                <w:left w:space="0" w:sz="0" w:val="nil"/>
                <w:bottom w:space="0" w:sz="0" w:val="nil"/>
                <w:right w:space="0" w:sz="0" w:val="nil"/>
                <w:between w:space="0" w:sz="0" w:val="nil"/>
              </w:pBdr>
              <w:shd w:fill="auto" w:val="clear"/>
              <w:jc w:val="center"/>
              <w:rPr>
                <w:rFonts w:ascii="Verdana" w:cs="Verdana" w:eastAsia="Verdana" w:hAnsi="Verdana"/>
                <w:b w:val="1"/>
                <w:sz w:val="52"/>
                <w:szCs w:val="52"/>
              </w:rPr>
            </w:pPr>
            <w:r w:rsidDel="00000000" w:rsidR="00000000" w:rsidRPr="00000000">
              <w:rPr/>
              <w:drawing>
                <wp:inline distB="0" distT="0" distL="0" distR="0">
                  <wp:extent cx="770039" cy="590715"/>
                  <wp:effectExtent b="0" l="0" r="0" t="0"/>
                  <wp:docPr id="1" name="image1.png"/>
                  <a:graphic>
                    <a:graphicData uri="http://schemas.openxmlformats.org/drawingml/2006/picture">
                      <pic:pic>
                        <pic:nvPicPr>
                          <pic:cNvPr id="0" name="image1.png"/>
                          <pic:cNvPicPr preferRelativeResize="0"/>
                        </pic:nvPicPr>
                        <pic:blipFill>
                          <a:blip r:embed="rId6"/>
                          <a:srcRect b="17321" l="0" r="0" t="0"/>
                          <a:stretch>
                            <a:fillRect/>
                          </a:stretch>
                        </pic:blipFill>
                        <pic:spPr>
                          <a:xfrm>
                            <a:off x="0" y="0"/>
                            <a:ext cx="770039" cy="59071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jc w:val="left"/>
              <w:rPr>
                <w:rFonts w:ascii="Cambria" w:cs="Cambria" w:eastAsia="Cambria" w:hAnsi="Cambria"/>
                <w:b w:val="1"/>
                <w:sz w:val="52"/>
                <w:szCs w:val="52"/>
              </w:rPr>
            </w:pPr>
            <w:r w:rsidDel="00000000" w:rsidR="00000000" w:rsidRPr="00000000">
              <w:rPr>
                <w:rFonts w:ascii="Cambria" w:cs="Cambria" w:eastAsia="Cambria" w:hAnsi="Cambria"/>
                <w:b w:val="1"/>
                <w:sz w:val="52"/>
                <w:szCs w:val="52"/>
                <w:rtl w:val="0"/>
              </w:rPr>
              <w:t xml:space="preserve">Fifth Grade Physical Education</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z w:val="28"/>
                <w:szCs w:val="28"/>
              </w:rPr>
            </w:pPr>
            <w:r w:rsidDel="00000000" w:rsidR="00000000" w:rsidRPr="00000000">
              <w:rPr>
                <w:rFonts w:ascii="Cambria" w:cs="Cambria" w:eastAsia="Cambria" w:hAnsi="Cambria"/>
                <w:b w:val="1"/>
                <w:sz w:val="28"/>
                <w:szCs w:val="28"/>
                <w:rtl w:val="0"/>
              </w:rPr>
              <w:t xml:space="preserve">Course Syllabus</w:t>
            </w:r>
            <w:r w:rsidDel="00000000" w:rsidR="00000000" w:rsidRPr="00000000">
              <w:rPr>
                <w:rtl w:val="0"/>
              </w:rPr>
            </w:r>
          </w:p>
        </w:tc>
      </w:tr>
      <w:tr>
        <w:trPr>
          <w:cantSplit w:val="0"/>
          <w:tblHeader w:val="0"/>
        </w:trPr>
        <w:tc>
          <w:tcPr/>
          <w:p w:rsidR="00000000" w:rsidDel="00000000" w:rsidP="00000000" w:rsidRDefault="00000000" w:rsidRPr="00000000" w14:paraId="00000005">
            <w:pPr>
              <w:pStyle w:val="Heading1"/>
              <w:pageBreakBefore w:val="0"/>
              <w:pBdr>
                <w:top w:space="0" w:sz="0" w:val="nil"/>
                <w:left w:space="0" w:sz="0" w:val="nil"/>
                <w:bottom w:space="0" w:sz="0" w:val="nil"/>
                <w:right w:space="0" w:sz="0" w:val="nil"/>
                <w:between w:space="0" w:sz="0" w:val="nil"/>
              </w:pBdr>
              <w:shd w:fill="auto" w:val="clear"/>
              <w:jc w:val="left"/>
              <w:rPr>
                <w:rFonts w:ascii="Cambria" w:cs="Cambria" w:eastAsia="Cambria" w:hAnsi="Cambria"/>
                <w:b w:val="0"/>
                <w:sz w:val="28"/>
                <w:szCs w:val="28"/>
              </w:rPr>
            </w:pPr>
            <w:r w:rsidDel="00000000" w:rsidR="00000000" w:rsidRPr="00000000">
              <w:rPr>
                <w:rFonts w:ascii="Cambria" w:cs="Cambria" w:eastAsia="Cambria" w:hAnsi="Cambria"/>
                <w:sz w:val="28"/>
                <w:szCs w:val="28"/>
                <w:rtl w:val="0"/>
              </w:rPr>
              <w:t xml:space="preserve">Physical Education</w:t>
            </w:r>
            <w:r w:rsidDel="00000000" w:rsidR="00000000" w:rsidRPr="00000000">
              <w:rPr>
                <w:rtl w:val="0"/>
              </w:rPr>
            </w:r>
          </w:p>
        </w:tc>
        <w:tc>
          <w:tcPr/>
          <w:p w:rsidR="00000000" w:rsidDel="00000000" w:rsidP="00000000" w:rsidRDefault="00000000" w:rsidRPr="00000000" w14:paraId="00000006">
            <w:pPr>
              <w:pStyle w:val="Heading1"/>
              <w:pageBreakBefore w:val="0"/>
              <w:pBdr>
                <w:top w:space="0" w:sz="0" w:val="nil"/>
                <w:left w:space="0" w:sz="0" w:val="nil"/>
                <w:bottom w:space="0" w:sz="0" w:val="nil"/>
                <w:right w:space="0" w:sz="0" w:val="nil"/>
                <w:between w:space="0" w:sz="0" w:val="nil"/>
              </w:pBdr>
              <w:shd w:fill="auto" w:val="clear"/>
              <w:jc w:val="center"/>
              <w:rPr>
                <w:rFonts w:ascii="Cambria" w:cs="Cambria" w:eastAsia="Cambria" w:hAnsi="Cambria"/>
                <w:b w:val="1"/>
                <w:sz w:val="28"/>
                <w:szCs w:val="28"/>
              </w:rPr>
            </w:pPr>
            <w:r w:rsidDel="00000000" w:rsidR="00000000" w:rsidRPr="00000000">
              <w:rPr>
                <w:rFonts w:ascii="Cambria" w:cs="Cambria" w:eastAsia="Cambria" w:hAnsi="Cambria"/>
                <w:sz w:val="28"/>
                <w:szCs w:val="28"/>
                <w:rtl w:val="0"/>
              </w:rPr>
              <w:t xml:space="preserve">Prince George’s County Public Schools</w:t>
            </w:r>
            <w:r w:rsidDel="00000000" w:rsidR="00000000" w:rsidRPr="00000000">
              <w:rPr>
                <w:rtl w:val="0"/>
              </w:rPr>
            </w:r>
          </w:p>
        </w:tc>
      </w:tr>
    </w:tbl>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rPr>
      </w:pPr>
      <w:bookmarkStart w:colFirst="0" w:colLast="0" w:name="_gjdgxs" w:id="0"/>
      <w:bookmarkEnd w:id="0"/>
      <w:r w:rsidDel="00000000" w:rsidR="00000000" w:rsidRPr="00000000">
        <w:rPr>
          <w:rFonts w:ascii="Cambria" w:cs="Cambria" w:eastAsia="Cambria" w:hAnsi="Cambria"/>
          <w:b w:val="1"/>
          <w:rtl w:val="0"/>
        </w:rPr>
        <w:t xml:space="preserve">Prerequisites</w:t>
      </w:r>
      <w:r w:rsidDel="00000000" w:rsidR="00000000" w:rsidRPr="00000000">
        <w:rPr>
          <w:rFonts w:ascii="Cambria" w:cs="Cambria" w:eastAsia="Cambria" w:hAnsi="Cambria"/>
          <w:rtl w:val="0"/>
        </w:rPr>
        <w:t xml:space="preserve">: None</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rPr>
      </w:pPr>
      <w:r w:rsidDel="00000000" w:rsidR="00000000" w:rsidRPr="00000000">
        <w:rPr>
          <w:rFonts w:ascii="Cambria" w:cs="Cambria" w:eastAsia="Cambria" w:hAnsi="Cambria"/>
          <w:b w:val="1"/>
          <w:rtl w:val="0"/>
        </w:rPr>
        <w:t xml:space="preserve"> </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b w:val="1"/>
        </w:rPr>
      </w:pPr>
      <w:r w:rsidDel="00000000" w:rsidR="00000000" w:rsidRPr="00000000">
        <w:rPr>
          <w:rFonts w:ascii="Cambria" w:cs="Cambria" w:eastAsia="Cambria" w:hAnsi="Cambria"/>
          <w:b w:val="1"/>
          <w:rtl w:val="0"/>
        </w:rPr>
        <w:t xml:space="preserve">Course Description: </w:t>
      </w:r>
    </w:p>
    <w:p w:rsidR="00000000" w:rsidDel="00000000" w:rsidP="00000000" w:rsidRDefault="00000000" w:rsidRPr="00000000" w14:paraId="0000000C">
      <w:pPr>
        <w:pStyle w:val="Heading1"/>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rPr>
      </w:pPr>
      <w:r w:rsidDel="00000000" w:rsidR="00000000" w:rsidRPr="00000000">
        <w:rPr>
          <w:rFonts w:ascii="Cambria" w:cs="Cambria" w:eastAsia="Cambria" w:hAnsi="Cambria"/>
          <w:sz w:val="24"/>
          <w:szCs w:val="24"/>
          <w:rtl w:val="0"/>
        </w:rPr>
        <w:t xml:space="preserve">The physical education program is based on the Society of Health and Physical Education (SHAPE America) Standards and Grade Level Outcomes. SHAPE America’s five standards focus on developing physically literate individuals that have the knowledge, skills, and confidence to enjoy a lifetime of healthful physical activity.  At the elementary level, the focus is on the foundational skills, knowledge and personal/social responsibility in a physical activity setting.</w:t>
      </w:r>
      <w:r w:rsidDel="00000000" w:rsidR="00000000" w:rsidRPr="00000000">
        <w:rPr>
          <w:rtl w:val="0"/>
        </w:rPr>
      </w:r>
    </w:p>
    <w:p w:rsidR="00000000" w:rsidDel="00000000" w:rsidP="00000000" w:rsidRDefault="00000000" w:rsidRPr="00000000" w14:paraId="0000000D">
      <w:pPr>
        <w:pageBreakBefore w:val="0"/>
        <w:ind w:left="-450" w:firstLine="0"/>
        <w:rPr>
          <w:rFonts w:ascii="Cambria" w:cs="Cambria" w:eastAsia="Cambria" w:hAnsi="Cambria"/>
        </w:rPr>
      </w:pPr>
      <w:r w:rsidDel="00000000" w:rsidR="00000000" w:rsidRPr="00000000">
        <w:rPr>
          <w:rtl w:val="0"/>
        </w:rPr>
      </w:r>
    </w:p>
    <w:p w:rsidR="00000000" w:rsidDel="00000000" w:rsidP="00000000" w:rsidRDefault="00000000" w:rsidRPr="00000000" w14:paraId="0000000E">
      <w:pPr>
        <w:pageBreakBefore w:val="0"/>
        <w:ind w:left="-45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By the end of 5th grade, the students will have learned to demonstrate competence in</w:t>
      </w:r>
      <w:r w:rsidDel="00000000" w:rsidR="00000000" w:rsidRPr="00000000">
        <w:rPr>
          <w:rFonts w:ascii="Cambria" w:cs="Cambria" w:eastAsia="Cambria" w:hAnsi="Cambria"/>
          <w:rtl w:val="0"/>
        </w:rPr>
        <w:t xml:space="preserve"> a combination of motor and manipulative skills. Students will use basic movement concepts in dance, gymnastics, and small-sided practice tasks. By analyzing and applying health related fitness components, students will develop the knowledge to improve personal fitness. Students will give corrective feedback respectfully to peers.</w:t>
      </w:r>
      <w:r w:rsidDel="00000000" w:rsidR="00000000" w:rsidRPr="00000000">
        <w:rPr>
          <w:rtl w:val="0"/>
        </w:rPr>
      </w:r>
    </w:p>
    <w:p w:rsidR="00000000" w:rsidDel="00000000" w:rsidP="00000000" w:rsidRDefault="00000000" w:rsidRPr="00000000" w14:paraId="0000000F">
      <w:pPr>
        <w:pageBreakBefore w:val="0"/>
        <w:ind w:left="-360" w:firstLine="0"/>
        <w:rPr>
          <w:rFonts w:ascii="Cambria" w:cs="Cambria" w:eastAsia="Cambria" w:hAnsi="Cambria"/>
          <w:i w:val="1"/>
        </w:rPr>
      </w:pPr>
      <w:r w:rsidDel="00000000" w:rsidR="00000000" w:rsidRPr="00000000">
        <w:rPr>
          <w:rtl w:val="0"/>
        </w:rPr>
      </w:r>
    </w:p>
    <w:p w:rsidR="00000000" w:rsidDel="00000000" w:rsidP="00000000" w:rsidRDefault="00000000" w:rsidRPr="00000000" w14:paraId="00000010">
      <w:pPr>
        <w:pageBreakBefore w:val="0"/>
        <w:ind w:left="-360" w:firstLine="0"/>
        <w:rPr/>
      </w:pPr>
      <w:r w:rsidDel="00000000" w:rsidR="00000000" w:rsidRPr="00000000">
        <w:rPr>
          <w:rFonts w:ascii="Cambria" w:cs="Cambria" w:eastAsia="Cambria" w:hAnsi="Cambria"/>
          <w:i w:val="1"/>
          <w:rtl w:val="0"/>
        </w:rPr>
        <w:t xml:space="preserve">Note: Lesson activities depend on a number of factors that include but are not limited to time, space, and equipment.</w: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0"/>
          <w:szCs w:val="10"/>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rFonts w:ascii="Cambria" w:cs="Cambria" w:eastAsia="Cambria" w:hAnsi="Cambria"/>
          <w:sz w:val="28"/>
          <w:szCs w:val="28"/>
          <w:u w:val="single"/>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rFonts w:ascii="Cambria" w:cs="Cambria" w:eastAsia="Cambria" w:hAnsi="Cambria"/>
          <w:sz w:val="28"/>
          <w:szCs w:val="28"/>
          <w:u w:val="single"/>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rFonts w:ascii="Cambria" w:cs="Cambria" w:eastAsia="Cambria" w:hAnsi="Cambria"/>
          <w:sz w:val="28"/>
          <w:szCs w:val="28"/>
          <w:u w:val="single"/>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rFonts w:ascii="Cambria" w:cs="Cambria" w:eastAsia="Cambria" w:hAnsi="Cambria"/>
          <w:sz w:val="28"/>
          <w:szCs w:val="28"/>
          <w:u w:val="single"/>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sz w:val="28"/>
          <w:szCs w:val="28"/>
          <w:u w:val="single"/>
        </w:rPr>
      </w:pPr>
      <w:bookmarkStart w:colFirst="0" w:colLast="0" w:name="_ixltdo2q8sd7" w:id="1"/>
      <w:bookmarkEnd w:id="1"/>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rFonts w:ascii="Cambria" w:cs="Cambria" w:eastAsia="Cambria" w:hAnsi="Cambria"/>
          <w:sz w:val="28"/>
          <w:szCs w:val="28"/>
        </w:rPr>
      </w:pPr>
      <w:bookmarkStart w:colFirst="0" w:colLast="0" w:name="_30j0zll" w:id="2"/>
      <w:bookmarkEnd w:id="2"/>
      <w:r w:rsidDel="00000000" w:rsidR="00000000" w:rsidRPr="00000000">
        <w:rPr>
          <w:rFonts w:ascii="Cambria" w:cs="Cambria" w:eastAsia="Cambria" w:hAnsi="Cambria"/>
          <w:b w:val="1"/>
          <w:sz w:val="28"/>
          <w:szCs w:val="28"/>
          <w:u w:val="single"/>
          <w:rtl w:val="0"/>
        </w:rPr>
        <w:t xml:space="preserve">GRADING:</w:t>
      </w:r>
      <w:r w:rsidDel="00000000" w:rsidR="00000000" w:rsidRPr="00000000">
        <w:rPr>
          <w:rFonts w:ascii="Cambria" w:cs="Cambria" w:eastAsia="Cambria" w:hAnsi="Cambria"/>
          <w:sz w:val="28"/>
          <w:szCs w:val="28"/>
          <w:rtl w:val="0"/>
        </w:rPr>
        <w:t xml:space="preserve"> </w:t>
        <w:tab/>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jc w:val="cente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Elementary School Physical Education</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ind w:left="-360" w:firstLine="0"/>
        <w:rPr>
          <w:rFonts w:ascii="Cambria" w:cs="Cambria" w:eastAsia="Cambria" w:hAnsi="Cambria"/>
        </w:rPr>
      </w:pPr>
      <w:r w:rsidDel="00000000" w:rsidR="00000000" w:rsidRPr="00000000">
        <w:rPr>
          <w:rFonts w:ascii="Cambria" w:cs="Cambria" w:eastAsia="Cambria" w:hAnsi="Cambria"/>
          <w:rtl w:val="0"/>
        </w:rPr>
        <w:t xml:space="preserve">Overview: The goal of grading and reporting is to provide the students with feedback that reflects their progress towards the mastery of the indicators and objectives </w:t>
      </w:r>
      <w:r w:rsidDel="00000000" w:rsidR="00000000" w:rsidRPr="00000000">
        <w:rPr>
          <w:rFonts w:ascii="Cambria" w:cs="Cambria" w:eastAsia="Cambria" w:hAnsi="Cambria"/>
          <w:color w:val="263238"/>
          <w:rtl w:val="0"/>
        </w:rPr>
        <w:t xml:space="preserve">align to the Society of Health and Physical Educators (SHAPE) America Standards.</w:t>
      </w: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rFonts w:ascii="Cambria" w:cs="Cambria" w:eastAsia="Cambria" w:hAnsi="Cambria"/>
          <w:highlight w:val="yellow"/>
        </w:rPr>
      </w:pPr>
      <w:r w:rsidDel="00000000" w:rsidR="00000000" w:rsidRPr="00000000">
        <w:rPr>
          <w:rtl w:val="0"/>
        </w:rPr>
      </w:r>
    </w:p>
    <w:tbl>
      <w:tblPr>
        <w:tblStyle w:val="Table2"/>
        <w:tblW w:w="10188.0" w:type="dxa"/>
        <w:jc w:val="righ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2799"/>
        <w:gridCol w:w="5220"/>
        <w:gridCol w:w="2169"/>
        <w:tblGridChange w:id="0">
          <w:tblGrid>
            <w:gridCol w:w="2799"/>
            <w:gridCol w:w="5220"/>
            <w:gridCol w:w="2169"/>
          </w:tblGrid>
        </w:tblGridChange>
      </w:tblGrid>
      <w:tr>
        <w:trPr>
          <w:cantSplit w:val="0"/>
          <w:tblHeader w:val="0"/>
        </w:trPr>
        <w:tc>
          <w:tcPr>
            <w:shd w:fill="b8cce4" w:val="clear"/>
            <w:vAlign w:val="center"/>
          </w:tcPr>
          <w:p w:rsidR="00000000" w:rsidDel="00000000" w:rsidP="00000000" w:rsidRDefault="00000000" w:rsidRPr="00000000" w14:paraId="0000003B">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Factors</w:t>
            </w:r>
          </w:p>
        </w:tc>
        <w:tc>
          <w:tcPr>
            <w:shd w:fill="b8cce4" w:val="clear"/>
            <w:vAlign w:val="center"/>
          </w:tcPr>
          <w:p w:rsidR="00000000" w:rsidDel="00000000" w:rsidP="00000000" w:rsidRDefault="00000000" w:rsidRPr="00000000" w14:paraId="0000003C">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Brief Description</w:t>
            </w:r>
          </w:p>
        </w:tc>
        <w:tc>
          <w:tcPr>
            <w:shd w:fill="b8cce4" w:val="clear"/>
            <w:vAlign w:val="center"/>
          </w:tcPr>
          <w:p w:rsidR="00000000" w:rsidDel="00000000" w:rsidP="00000000" w:rsidRDefault="00000000" w:rsidRPr="00000000" w14:paraId="0000003D">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Grade Percentage</w:t>
            </w:r>
          </w:p>
          <w:p w:rsidR="00000000" w:rsidDel="00000000" w:rsidP="00000000" w:rsidRDefault="00000000" w:rsidRPr="00000000" w14:paraId="0000003E">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Per Quarter</w:t>
            </w:r>
          </w:p>
        </w:tc>
      </w:tr>
      <w:tr>
        <w:trPr>
          <w:cantSplit w:val="0"/>
          <w:tblHeader w:val="0"/>
        </w:trPr>
        <w:tc>
          <w:tcPr>
            <w:vAlign w:val="center"/>
          </w:tcPr>
          <w:p w:rsidR="00000000" w:rsidDel="00000000" w:rsidP="00000000" w:rsidRDefault="00000000" w:rsidRPr="00000000" w14:paraId="0000003F">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Classwork</w:t>
            </w:r>
          </w:p>
        </w:tc>
        <w:tc>
          <w:tcPr/>
          <w:p w:rsidR="00000000" w:rsidDel="00000000" w:rsidP="00000000" w:rsidRDefault="00000000" w:rsidRPr="00000000" w14:paraId="00000040">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This includes all work completed in the classroom setting. This may include but is not limited to:</w:t>
            </w:r>
          </w:p>
          <w:p w:rsidR="00000000" w:rsidDel="00000000" w:rsidP="00000000" w:rsidRDefault="00000000" w:rsidRPr="00000000" w14:paraId="00000041">
            <w:pPr>
              <w:pageBreakBefore w:val="0"/>
              <w:numPr>
                <w:ilvl w:val="0"/>
                <w:numId w:val="2"/>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Warm ups</w:t>
            </w:r>
            <w:r w:rsidDel="00000000" w:rsidR="00000000" w:rsidRPr="00000000">
              <w:rPr>
                <w:rtl w:val="0"/>
              </w:rPr>
            </w:r>
          </w:p>
          <w:p w:rsidR="00000000" w:rsidDel="00000000" w:rsidP="00000000" w:rsidRDefault="00000000" w:rsidRPr="00000000" w14:paraId="00000042">
            <w:pPr>
              <w:pageBreakBefore w:val="0"/>
              <w:numPr>
                <w:ilvl w:val="0"/>
                <w:numId w:val="2"/>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Worksheets</w:t>
            </w:r>
            <w:r w:rsidDel="00000000" w:rsidR="00000000" w:rsidRPr="00000000">
              <w:rPr>
                <w:rtl w:val="0"/>
              </w:rPr>
            </w:r>
          </w:p>
          <w:p w:rsidR="00000000" w:rsidDel="00000000" w:rsidP="00000000" w:rsidRDefault="00000000" w:rsidRPr="00000000" w14:paraId="00000043">
            <w:pPr>
              <w:pageBreakBefore w:val="0"/>
              <w:numPr>
                <w:ilvl w:val="0"/>
                <w:numId w:val="2"/>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Article Critiques</w:t>
            </w:r>
            <w:r w:rsidDel="00000000" w:rsidR="00000000" w:rsidRPr="00000000">
              <w:rPr>
                <w:rtl w:val="0"/>
              </w:rPr>
            </w:r>
          </w:p>
          <w:p w:rsidR="00000000" w:rsidDel="00000000" w:rsidP="00000000" w:rsidRDefault="00000000" w:rsidRPr="00000000" w14:paraId="00000044">
            <w:pPr>
              <w:pageBreakBefore w:val="0"/>
              <w:numPr>
                <w:ilvl w:val="0"/>
                <w:numId w:val="2"/>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Notebooks  </w:t>
            </w:r>
            <w:r w:rsidDel="00000000" w:rsidR="00000000" w:rsidRPr="00000000">
              <w:rPr>
                <w:rtl w:val="0"/>
              </w:rPr>
            </w:r>
          </w:p>
          <w:p w:rsidR="00000000" w:rsidDel="00000000" w:rsidP="00000000" w:rsidRDefault="00000000" w:rsidRPr="00000000" w14:paraId="00000045">
            <w:pPr>
              <w:pageBreakBefore w:val="0"/>
              <w:numPr>
                <w:ilvl w:val="0"/>
                <w:numId w:val="2"/>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Whole/Small group work or discussions</w:t>
            </w:r>
            <w:r w:rsidDel="00000000" w:rsidR="00000000" w:rsidRPr="00000000">
              <w:rPr>
                <w:rtl w:val="0"/>
              </w:rPr>
            </w:r>
          </w:p>
          <w:p w:rsidR="00000000" w:rsidDel="00000000" w:rsidP="00000000" w:rsidRDefault="00000000" w:rsidRPr="00000000" w14:paraId="00000046">
            <w:pPr>
              <w:pageBreakBefore w:val="0"/>
              <w:numPr>
                <w:ilvl w:val="0"/>
                <w:numId w:val="2"/>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Vocabulary</w:t>
            </w:r>
            <w:r w:rsidDel="00000000" w:rsidR="00000000" w:rsidRPr="00000000">
              <w:rPr>
                <w:rtl w:val="0"/>
              </w:rPr>
            </w:r>
          </w:p>
          <w:p w:rsidR="00000000" w:rsidDel="00000000" w:rsidP="00000000" w:rsidRDefault="00000000" w:rsidRPr="00000000" w14:paraId="00000047">
            <w:pPr>
              <w:pageBreakBefore w:val="0"/>
              <w:numPr>
                <w:ilvl w:val="0"/>
                <w:numId w:val="2"/>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Skill Assessments/Performance Based Assessments</w:t>
            </w:r>
          </w:p>
          <w:p w:rsidR="00000000" w:rsidDel="00000000" w:rsidP="00000000" w:rsidRDefault="00000000" w:rsidRPr="00000000" w14:paraId="00000048">
            <w:pPr>
              <w:pageBreakBefore w:val="0"/>
              <w:numPr>
                <w:ilvl w:val="0"/>
                <w:numId w:val="2"/>
              </w:numPr>
              <w:spacing w:before="0" w:lineRule="auto"/>
              <w:ind w:left="720" w:hanging="360"/>
              <w:rPr>
                <w:sz w:val="22"/>
                <w:szCs w:val="22"/>
              </w:rPr>
            </w:pPr>
            <w:r w:rsidDel="00000000" w:rsidR="00000000" w:rsidRPr="00000000">
              <w:rPr>
                <w:rFonts w:ascii="Cambria" w:cs="Cambria" w:eastAsia="Cambria" w:hAnsi="Cambria"/>
                <w:sz w:val="22"/>
                <w:szCs w:val="22"/>
                <w:rtl w:val="0"/>
              </w:rPr>
              <w:t xml:space="preserve">Personal/Social/Emotional Development</w:t>
            </w:r>
            <w:r w:rsidDel="00000000" w:rsidR="00000000" w:rsidRPr="00000000">
              <w:rPr>
                <w:rtl w:val="0"/>
              </w:rPr>
            </w:r>
          </w:p>
        </w:tc>
        <w:tc>
          <w:tcPr>
            <w:vAlign w:val="center"/>
          </w:tcPr>
          <w:p w:rsidR="00000000" w:rsidDel="00000000" w:rsidP="00000000" w:rsidRDefault="00000000" w:rsidRPr="00000000" w14:paraId="00000049">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70%</w:t>
            </w:r>
          </w:p>
        </w:tc>
      </w:tr>
      <w:tr>
        <w:trPr>
          <w:cantSplit w:val="0"/>
          <w:tblHeader w:val="0"/>
        </w:trPr>
        <w:tc>
          <w:tcPr>
            <w:vAlign w:val="center"/>
          </w:tcPr>
          <w:p w:rsidR="00000000" w:rsidDel="00000000" w:rsidP="00000000" w:rsidRDefault="00000000" w:rsidRPr="00000000" w14:paraId="0000004A">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Homework</w:t>
            </w:r>
          </w:p>
        </w:tc>
        <w:tc>
          <w:tcPr/>
          <w:p w:rsidR="00000000" w:rsidDel="00000000" w:rsidP="00000000" w:rsidRDefault="00000000" w:rsidRPr="00000000" w14:paraId="0000004B">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This includes all work begun or completed outside the classroom/gymnasium. This may include, but is not limited to:</w:t>
            </w:r>
          </w:p>
          <w:p w:rsidR="00000000" w:rsidDel="00000000" w:rsidP="00000000" w:rsidRDefault="00000000" w:rsidRPr="00000000" w14:paraId="0000004C">
            <w:pPr>
              <w:pageBreakBefore w:val="0"/>
              <w:numPr>
                <w:ilvl w:val="0"/>
                <w:numId w:val="3"/>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Journals</w:t>
            </w:r>
            <w:r w:rsidDel="00000000" w:rsidR="00000000" w:rsidRPr="00000000">
              <w:rPr>
                <w:rtl w:val="0"/>
              </w:rPr>
            </w:r>
          </w:p>
          <w:p w:rsidR="00000000" w:rsidDel="00000000" w:rsidP="00000000" w:rsidRDefault="00000000" w:rsidRPr="00000000" w14:paraId="0000004D">
            <w:pPr>
              <w:pageBreakBefore w:val="0"/>
              <w:numPr>
                <w:ilvl w:val="0"/>
                <w:numId w:val="3"/>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Written reports</w:t>
            </w:r>
          </w:p>
          <w:p w:rsidR="00000000" w:rsidDel="00000000" w:rsidP="00000000" w:rsidRDefault="00000000" w:rsidRPr="00000000" w14:paraId="0000004E">
            <w:pPr>
              <w:pageBreakBefore w:val="0"/>
              <w:numPr>
                <w:ilvl w:val="0"/>
                <w:numId w:val="3"/>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Projects</w:t>
            </w:r>
            <w:r w:rsidDel="00000000" w:rsidR="00000000" w:rsidRPr="00000000">
              <w:rPr>
                <w:rtl w:val="0"/>
              </w:rPr>
            </w:r>
          </w:p>
          <w:p w:rsidR="00000000" w:rsidDel="00000000" w:rsidP="00000000" w:rsidRDefault="00000000" w:rsidRPr="00000000" w14:paraId="0000004F">
            <w:pPr>
              <w:pageBreakBefore w:val="0"/>
              <w:numPr>
                <w:ilvl w:val="0"/>
                <w:numId w:val="3"/>
              </w:numPr>
              <w:spacing w:before="0" w:lineRule="auto"/>
              <w:ind w:left="720" w:hanging="360"/>
              <w:rPr>
                <w:sz w:val="22"/>
                <w:szCs w:val="22"/>
              </w:rPr>
            </w:pPr>
            <w:r w:rsidDel="00000000" w:rsidR="00000000" w:rsidRPr="00000000">
              <w:rPr>
                <w:rFonts w:ascii="Cambria" w:cs="Cambria" w:eastAsia="Cambria" w:hAnsi="Cambria"/>
                <w:sz w:val="22"/>
                <w:szCs w:val="22"/>
                <w:rtl w:val="0"/>
              </w:rPr>
              <w:t xml:space="preserve">Fitness Logs</w:t>
            </w:r>
          </w:p>
        </w:tc>
        <w:tc>
          <w:tcPr>
            <w:vAlign w:val="center"/>
          </w:tcPr>
          <w:p w:rsidR="00000000" w:rsidDel="00000000" w:rsidP="00000000" w:rsidRDefault="00000000" w:rsidRPr="00000000" w14:paraId="00000050">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10%</w:t>
            </w:r>
          </w:p>
        </w:tc>
      </w:tr>
      <w:tr>
        <w:trPr>
          <w:cantSplit w:val="0"/>
          <w:trHeight w:val="2400" w:hRule="atLeast"/>
          <w:tblHeader w:val="0"/>
        </w:trPr>
        <w:tc>
          <w:tcPr>
            <w:vAlign w:val="center"/>
          </w:tcPr>
          <w:p w:rsidR="00000000" w:rsidDel="00000000" w:rsidP="00000000" w:rsidRDefault="00000000" w:rsidRPr="00000000" w14:paraId="00000051">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Assessment</w:t>
            </w:r>
          </w:p>
        </w:tc>
        <w:tc>
          <w:tcPr/>
          <w:p w:rsidR="00000000" w:rsidDel="00000000" w:rsidP="00000000" w:rsidRDefault="00000000" w:rsidRPr="00000000" w14:paraId="00000052">
            <w:pPr>
              <w:pageBreakBefore w:val="0"/>
              <w:rPr>
                <w:rFonts w:ascii="Cambria" w:cs="Cambria" w:eastAsia="Cambria" w:hAnsi="Cambria"/>
                <w:sz w:val="22"/>
                <w:szCs w:val="22"/>
              </w:rPr>
            </w:pPr>
            <w:r w:rsidDel="00000000" w:rsidR="00000000" w:rsidRPr="00000000">
              <w:rPr>
                <w:rFonts w:ascii="Cambria" w:cs="Cambria" w:eastAsia="Cambria" w:hAnsi="Cambria"/>
                <w:color w:val="263238"/>
                <w:sz w:val="22"/>
                <w:szCs w:val="22"/>
                <w:rtl w:val="0"/>
              </w:rPr>
              <w:t xml:space="preserve">This category entails both traditional and alternative methods of assessing student learning. This may include:</w:t>
            </w:r>
            <w:r w:rsidDel="00000000" w:rsidR="00000000" w:rsidRPr="00000000">
              <w:rPr>
                <w:rtl w:val="0"/>
              </w:rPr>
            </w:r>
          </w:p>
          <w:p w:rsidR="00000000" w:rsidDel="00000000" w:rsidP="00000000" w:rsidRDefault="00000000" w:rsidRPr="00000000" w14:paraId="00000053">
            <w:pPr>
              <w:pageBreakBefore w:val="0"/>
              <w:numPr>
                <w:ilvl w:val="0"/>
                <w:numId w:val="1"/>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Skill Assessments</w:t>
            </w:r>
          </w:p>
          <w:p w:rsidR="00000000" w:rsidDel="00000000" w:rsidP="00000000" w:rsidRDefault="00000000" w:rsidRPr="00000000" w14:paraId="00000054">
            <w:pPr>
              <w:pageBreakBefore w:val="0"/>
              <w:numPr>
                <w:ilvl w:val="0"/>
                <w:numId w:val="1"/>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Written Assessments</w:t>
            </w:r>
          </w:p>
          <w:p w:rsidR="00000000" w:rsidDel="00000000" w:rsidP="00000000" w:rsidRDefault="00000000" w:rsidRPr="00000000" w14:paraId="00000055">
            <w:pPr>
              <w:pageBreakBefore w:val="0"/>
              <w:numPr>
                <w:ilvl w:val="0"/>
                <w:numId w:val="1"/>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Rubrics</w:t>
            </w:r>
          </w:p>
          <w:p w:rsidR="00000000" w:rsidDel="00000000" w:rsidP="00000000" w:rsidRDefault="00000000" w:rsidRPr="00000000" w14:paraId="00000056">
            <w:pPr>
              <w:pageBreakBefore w:val="0"/>
              <w:numPr>
                <w:ilvl w:val="0"/>
                <w:numId w:val="1"/>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Task Cards</w:t>
            </w:r>
          </w:p>
          <w:p w:rsidR="00000000" w:rsidDel="00000000" w:rsidP="00000000" w:rsidRDefault="00000000" w:rsidRPr="00000000" w14:paraId="00000057">
            <w:pPr>
              <w:pageBreakBefore w:val="0"/>
              <w:numPr>
                <w:ilvl w:val="0"/>
                <w:numId w:val="1"/>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Pre/Post Fitness Assessment</w:t>
            </w:r>
          </w:p>
          <w:p w:rsidR="00000000" w:rsidDel="00000000" w:rsidP="00000000" w:rsidRDefault="00000000" w:rsidRPr="00000000" w14:paraId="00000058">
            <w:pPr>
              <w:pageBreakBefore w:val="0"/>
              <w:numPr>
                <w:ilvl w:val="0"/>
                <w:numId w:val="1"/>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Pair/Self Evaluation</w:t>
            </w:r>
          </w:p>
          <w:p w:rsidR="00000000" w:rsidDel="00000000" w:rsidP="00000000" w:rsidRDefault="00000000" w:rsidRPr="00000000" w14:paraId="00000059">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5A">
            <w:pPr>
              <w:pageBreakBefore w:val="0"/>
              <w:rPr>
                <w:rFonts w:ascii="Cambria" w:cs="Cambria" w:eastAsia="Cambria" w:hAnsi="Cambria"/>
                <w:b w:val="1"/>
                <w:i w:val="1"/>
                <w:sz w:val="22"/>
                <w:szCs w:val="22"/>
              </w:rPr>
            </w:pPr>
            <w:r w:rsidDel="00000000" w:rsidR="00000000" w:rsidRPr="00000000">
              <w:rPr>
                <w:rFonts w:ascii="Cambria" w:cs="Cambria" w:eastAsia="Cambria" w:hAnsi="Cambria"/>
                <w:b w:val="1"/>
                <w:i w:val="1"/>
                <w:sz w:val="22"/>
                <w:szCs w:val="22"/>
                <w:rtl w:val="0"/>
              </w:rPr>
              <w:t xml:space="preserve">An instructional rubric should be created to outline the criteria for success and scoring for each alternative assessment.</w:t>
            </w:r>
          </w:p>
        </w:tc>
        <w:tc>
          <w:tcPr>
            <w:vAlign w:val="center"/>
          </w:tcPr>
          <w:p w:rsidR="00000000" w:rsidDel="00000000" w:rsidP="00000000" w:rsidRDefault="00000000" w:rsidRPr="00000000" w14:paraId="0000005B">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20%</w:t>
            </w:r>
          </w:p>
        </w:tc>
      </w:tr>
    </w:tbl>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jc w:val="both"/>
        <w:rPr>
          <w:rFonts w:ascii="Cambria" w:cs="Cambria" w:eastAsia="Cambria" w:hAnsi="Cambria"/>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ind w:left="-72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ind w:left="-720" w:firstLine="720"/>
        <w:jc w:val="both"/>
        <w:rPr>
          <w:rFonts w:ascii="Cambria" w:cs="Cambria" w:eastAsia="Cambria" w:hAnsi="Cambria"/>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sectPr>
          <w:footerReference r:id="rId7" w:type="default"/>
          <w:pgSz w:h="15840" w:w="12240" w:orient="portrait"/>
          <w:pgMar w:bottom="810" w:top="446" w:left="720" w:right="864" w:header="0" w:footer="360"/>
          <w:pgNumType w:start="1"/>
        </w:sect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sz w:val="36"/>
          <w:szCs w:val="36"/>
        </w:rPr>
        <w:sectPr>
          <w:type w:val="continuous"/>
          <w:pgSz w:h="15840" w:w="12240" w:orient="portrait"/>
          <w:pgMar w:bottom="810" w:top="446" w:left="720" w:right="864" w:header="0" w:footer="360"/>
        </w:sect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type w:val="continuous"/>
      <w:pgSz w:h="15840" w:w="12240" w:orient="portrait"/>
      <w:pgMar w:bottom="810" w:top="446" w:left="720" w:right="864" w:header="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Verdana"/>
  <w:font w:name="Cambria"/>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166" w:before="0" w:line="240" w:lineRule="auto"/>
      <w:jc w:val="right"/>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166" w:before="0" w:line="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0" w:line="240" w:lineRule="auto"/>
    </w:pPr>
    <w:rPr>
      <w:rFonts w:ascii="Bookman Old Style" w:cs="Bookman Old Style" w:eastAsia="Bookman Old Style" w:hAnsi="Bookman Old Style"/>
      <w:b w:val="0"/>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
    <w:basedOn w:val="TableNormal"/>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