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rsidTr="00E76FED">
        <w:trPr>
          <w:trHeight w:val="840"/>
        </w:trPr>
        <w:tc>
          <w:tcPr>
            <w:tcW w:w="10530" w:type="dxa"/>
            <w:gridSpan w:val="4"/>
          </w:tcPr>
          <w:p w:rsidR="004C6947" w:rsidRPr="000C67FF" w:rsidRDefault="0051056E" w:rsidP="00740AF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F3F7E0BB8AED4C5CB963E28DAA2203A2"/>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Content>
                <w:r w:rsidRPr="0051056E">
                  <w:rPr>
                    <w:rFonts w:ascii="Times New Roman" w:hAnsi="Times New Roman" w:cs="Times New Roman"/>
                    <w:b/>
                    <w:sz w:val="44"/>
                    <w:szCs w:val="48"/>
                  </w:rPr>
                  <w:t>Germantown Municipal School District</w:t>
                </w:r>
              </w:sdtContent>
            </w:sdt>
          </w:p>
        </w:tc>
      </w:tr>
      <w:tr w:rsidR="00470EE4" w:rsidRPr="00470EE4" w:rsidTr="00E76FED">
        <w:trPr>
          <w:trHeight w:val="620"/>
        </w:trPr>
        <w:tc>
          <w:tcPr>
            <w:tcW w:w="1890"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7C1D9304B8D94194A38E06A752777252"/>
              </w:placeholder>
              <w:text/>
            </w:sdtPr>
            <w:sdtEndPr/>
            <w:sdtContent>
              <w:p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314D12">
                  <w:rPr>
                    <w:rFonts w:ascii="Times New Roman" w:hAnsi="Times New Roman" w:cs="Times New Roman"/>
                    <w:b/>
                    <w:bCs/>
                    <w:sz w:val="18"/>
                    <w:szCs w:val="18"/>
                  </w:rPr>
                  <w:t>October</w:t>
                </w:r>
              </w:p>
            </w:sdtContent>
          </w:sdt>
        </w:tc>
        <w:tc>
          <w:tcPr>
            <w:tcW w:w="5490" w:type="dxa"/>
            <w:vMerge w:val="restart"/>
          </w:tcPr>
          <w:p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4762AC039F444DE5A77980178CF71D01"/>
              </w:placeholder>
              <w:text w:multiLine="1"/>
            </w:sdtPr>
            <w:sdtEndPr/>
            <w:sdtContent>
              <w:p w:rsidR="00470EE4" w:rsidRPr="000C67FF" w:rsidRDefault="0051056E" w:rsidP="00A63F7F">
                <w:pPr>
                  <w:jc w:val="center"/>
                  <w:rPr>
                    <w:rFonts w:ascii="Times New Roman" w:hAnsi="Times New Roman" w:cs="Times New Roman"/>
                    <w:b/>
                    <w:sz w:val="36"/>
                    <w:szCs w:val="36"/>
                  </w:rPr>
                </w:pPr>
                <w:r>
                  <w:rPr>
                    <w:rFonts w:ascii="Times New Roman" w:hAnsi="Times New Roman" w:cs="Times New Roman"/>
                    <w:b/>
                    <w:sz w:val="36"/>
                    <w:szCs w:val="36"/>
                  </w:rPr>
                  <w:t>Prevention and Treatment of Sudden Cardiac Arrest</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6779E58915E44B15919008E2AB168FE1"/>
              </w:placeholder>
              <w:text/>
            </w:sdtPr>
            <w:sdtEndPr/>
            <w:sdtContent>
              <w:p w:rsidR="00470EE4" w:rsidRPr="00470EE4" w:rsidRDefault="0051056E" w:rsidP="00FA4515">
                <w:pPr>
                  <w:jc w:val="center"/>
                  <w:rPr>
                    <w:rFonts w:ascii="Times New Roman" w:hAnsi="Times New Roman" w:cs="Times New Roman"/>
                    <w:b/>
                    <w:sz w:val="20"/>
                    <w:szCs w:val="20"/>
                  </w:rPr>
                </w:pPr>
                <w:r>
                  <w:rPr>
                    <w:rFonts w:ascii="Times New Roman" w:hAnsi="Times New Roman" w:cs="Times New Roman"/>
                    <w:b/>
                    <w:sz w:val="20"/>
                    <w:szCs w:val="20"/>
                  </w:rPr>
                  <w:t>6.420</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6D09BA23975140CDB22087FBE6C2A610"/>
              </w:placeholder>
              <w:date w:fullDate="2015-12-16T00:00:00Z">
                <w:dateFormat w:val="MM/dd/yy"/>
                <w:lid w:val="en-US"/>
                <w:storeMappedDataAs w:val="dateTime"/>
                <w:calendar w:val="gregorian"/>
              </w:date>
            </w:sdtPr>
            <w:sdtEndPr/>
            <w:sdtContent>
              <w:p w:rsidR="00470EE4" w:rsidRPr="00470EE4" w:rsidRDefault="00314D12" w:rsidP="002F4992">
                <w:pPr>
                  <w:jc w:val="center"/>
                  <w:rPr>
                    <w:rFonts w:ascii="Times New Roman" w:hAnsi="Times New Roman" w:cs="Times New Roman"/>
                    <w:b/>
                    <w:sz w:val="20"/>
                    <w:szCs w:val="20"/>
                  </w:rPr>
                </w:pPr>
                <w:r>
                  <w:rPr>
                    <w:rFonts w:ascii="Times New Roman" w:hAnsi="Times New Roman" w:cs="Times New Roman"/>
                    <w:b/>
                    <w:sz w:val="20"/>
                    <w:szCs w:val="20"/>
                  </w:rPr>
                  <w:t>12/16/15</w:t>
                </w:r>
              </w:p>
            </w:sdtContent>
          </w:sdt>
        </w:tc>
      </w:tr>
      <w:tr w:rsidR="00470EE4" w:rsidRPr="00470EE4" w:rsidTr="00E76FED">
        <w:trPr>
          <w:trHeight w:val="701"/>
        </w:trPr>
        <w:tc>
          <w:tcPr>
            <w:tcW w:w="1890"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F4478F52662C4E65AFFAD5A9A21BF81B"/>
              </w:placeholder>
              <w:showingPlcHdr/>
              <w:text/>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B093BF12F01540118CCB734C8E0C91C5"/>
              </w:placeholder>
              <w:showingPlcHdr/>
              <w:date w:fullDate="1997-09-11T00:00:00Z">
                <w:dateFormat w:val="MM/dd/yy"/>
                <w:lid w:val="en-US"/>
                <w:storeMappedDataAs w:val="dateTime"/>
                <w:calendar w:val="gregorian"/>
              </w:date>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r>
    </w:tbl>
    <w:p w:rsidR="00314D12" w:rsidRPr="00314D12" w:rsidRDefault="00314D12" w:rsidP="00314D12">
      <w:pPr>
        <w:spacing w:before="240" w:after="0" w:line="240" w:lineRule="auto"/>
        <w:rPr>
          <w:rFonts w:ascii="Times New Roman" w:hAnsi="Times New Roman" w:cs="Times New Roman"/>
          <w:color w:val="000000"/>
          <w:sz w:val="24"/>
          <w:szCs w:val="24"/>
        </w:rPr>
      </w:pPr>
      <w:bookmarkStart w:id="0" w:name="BoardTitle"/>
      <w:bookmarkEnd w:id="0"/>
      <w:r w:rsidRPr="00314D12">
        <w:rPr>
          <w:rFonts w:ascii="Times New Roman" w:hAnsi="Times New Roman" w:cs="Times New Roman"/>
          <w:color w:val="000000"/>
          <w:sz w:val="24"/>
          <w:szCs w:val="24"/>
        </w:rPr>
        <w:t>S</w:t>
      </w:r>
      <w:r w:rsidRPr="00314D12">
        <w:rPr>
          <w:rFonts w:ascii="Times New Roman" w:hAnsi="Times New Roman" w:cs="Times New Roman"/>
          <w:color w:val="000000"/>
          <w:sz w:val="24"/>
          <w:szCs w:val="24"/>
        </w:rPr>
        <w:t xml:space="preserve">udden cardiac arrest (SCA) is a condition in which the heartbeat stops abruptly and unexpectedly, preventing blood flow to the brain, the heart, and the rest of the body. </w:t>
      </w:r>
      <w:proofErr w:type="gramStart"/>
      <w:r w:rsidRPr="00314D12">
        <w:rPr>
          <w:rFonts w:ascii="Times New Roman" w:hAnsi="Times New Roman" w:cs="Times New Roman"/>
          <w:color w:val="000000"/>
          <w:sz w:val="24"/>
          <w:szCs w:val="24"/>
        </w:rPr>
        <w:t>In order to</w:t>
      </w:r>
      <w:proofErr w:type="gramEnd"/>
      <w:r w:rsidRPr="00314D12">
        <w:rPr>
          <w:rFonts w:ascii="Times New Roman" w:hAnsi="Times New Roman" w:cs="Times New Roman"/>
          <w:color w:val="000000"/>
          <w:sz w:val="24"/>
          <w:szCs w:val="24"/>
        </w:rPr>
        <w:t xml:space="preserve"> ensure the safety of students that participate in interscholastic athletics, it is imperative that student athletes, coaches, and parents are educated about the nature and treatment of sudden cardiac arrest. Germantown Municipal Schools recognizes that sudden cardiac arrest is a serious health issue and should be treated as such.</w:t>
      </w:r>
    </w:p>
    <w:p w:rsidR="00314D12" w:rsidRPr="00314D12" w:rsidRDefault="00314D12" w:rsidP="00314D12">
      <w:pPr>
        <w:spacing w:before="240" w:after="0" w:line="240" w:lineRule="auto"/>
        <w:rPr>
          <w:rFonts w:ascii="Times New Roman" w:hAnsi="Times New Roman" w:cs="Times New Roman"/>
          <w:color w:val="000000"/>
          <w:sz w:val="24"/>
          <w:szCs w:val="24"/>
        </w:rPr>
      </w:pPr>
      <w:r w:rsidRPr="00314D12">
        <w:rPr>
          <w:rFonts w:ascii="Times New Roman" w:hAnsi="Times New Roman" w:cs="Times New Roman"/>
          <w:color w:val="000000"/>
          <w:sz w:val="24"/>
          <w:szCs w:val="24"/>
        </w:rPr>
        <w:t>Germantown Municipal Schools will adopt the guidelines and other pertinent information and forms developed by the Tennessee Department of Health and/or approved by TSSAA to inform and educate coaches, school administrators, student athletes, and parent(s) / guardian(s) of the nature, risk and symptoms of sudden cardiac arrest.  These guidelines and materials may be viewed on the Department of Health's, TSSAA website, and shall be made available to interested parties through the GMSD Central Office.</w:t>
      </w:r>
    </w:p>
    <w:p w:rsidR="00314D12" w:rsidRPr="00314D12" w:rsidRDefault="00314D12" w:rsidP="00314D12">
      <w:pPr>
        <w:spacing w:before="240"/>
        <w:rPr>
          <w:rFonts w:ascii="Times New Roman" w:hAnsi="Times New Roman" w:cs="Times New Roman"/>
          <w:color w:val="000000"/>
          <w:sz w:val="24"/>
          <w:szCs w:val="24"/>
        </w:rPr>
      </w:pPr>
      <w:r w:rsidRPr="00314D12">
        <w:rPr>
          <w:rFonts w:ascii="Times New Roman" w:hAnsi="Times New Roman" w:cs="Times New Roman"/>
          <w:color w:val="000000"/>
          <w:sz w:val="24"/>
          <w:szCs w:val="24"/>
        </w:rPr>
        <w:t xml:space="preserve">This policy shall govern all activities and those individuals involved in those activities, which constitute an organized athletic game or competition against another team or in practice or preparation for an organized game or competition.  It does not govern those activities or individuals involved in those activities, which are </w:t>
      </w:r>
      <w:proofErr w:type="gramStart"/>
      <w:r w:rsidRPr="00314D12">
        <w:rPr>
          <w:rFonts w:ascii="Times New Roman" w:hAnsi="Times New Roman" w:cs="Times New Roman"/>
          <w:color w:val="000000"/>
          <w:sz w:val="24"/>
          <w:szCs w:val="24"/>
        </w:rPr>
        <w:t>entered into</w:t>
      </w:r>
      <w:proofErr w:type="gramEnd"/>
      <w:r w:rsidRPr="00314D12">
        <w:rPr>
          <w:rFonts w:ascii="Times New Roman" w:hAnsi="Times New Roman" w:cs="Times New Roman"/>
          <w:color w:val="000000"/>
          <w:sz w:val="24"/>
          <w:szCs w:val="24"/>
        </w:rPr>
        <w:t xml:space="preserve"> for instructional purposes only or those that are incidental to a nonathletic program or lesson.</w:t>
      </w:r>
    </w:p>
    <w:p w:rsidR="00314D12" w:rsidRPr="00314D12" w:rsidRDefault="00314D12" w:rsidP="00314D12">
      <w:pPr>
        <w:spacing w:before="240"/>
        <w:rPr>
          <w:rFonts w:ascii="Times New Roman" w:hAnsi="Times New Roman" w:cs="Times New Roman"/>
          <w:b/>
          <w:color w:val="000000"/>
          <w:sz w:val="24"/>
          <w:szCs w:val="24"/>
          <w:vertAlign w:val="superscript"/>
        </w:rPr>
      </w:pPr>
      <w:r w:rsidRPr="00314D12">
        <w:rPr>
          <w:rFonts w:ascii="Times New Roman" w:hAnsi="Times New Roman" w:cs="Times New Roman"/>
          <w:b/>
          <w:color w:val="000000"/>
          <w:sz w:val="24"/>
          <w:szCs w:val="24"/>
        </w:rPr>
        <w:t>REQUIRED TRAINING</w:t>
      </w:r>
      <w:r w:rsidRPr="00314D12">
        <w:rPr>
          <w:rFonts w:ascii="Times New Roman" w:hAnsi="Times New Roman" w:cs="Times New Roman"/>
          <w:b/>
          <w:color w:val="000000"/>
          <w:sz w:val="24"/>
          <w:szCs w:val="24"/>
          <w:vertAlign w:val="superscript"/>
        </w:rPr>
        <w:t>1</w:t>
      </w:r>
    </w:p>
    <w:p w:rsidR="00314D12" w:rsidRPr="00314D12" w:rsidRDefault="00314D12" w:rsidP="00314D12">
      <w:pPr>
        <w:spacing w:before="240"/>
        <w:rPr>
          <w:rFonts w:ascii="Times New Roman" w:hAnsi="Times New Roman" w:cs="Times New Roman"/>
          <w:color w:val="000000"/>
          <w:sz w:val="24"/>
          <w:szCs w:val="24"/>
        </w:rPr>
      </w:pPr>
      <w:r w:rsidRPr="00314D12">
        <w:rPr>
          <w:rFonts w:ascii="Times New Roman" w:hAnsi="Times New Roman" w:cs="Times New Roman"/>
          <w:color w:val="000000"/>
          <w:sz w:val="24"/>
          <w:szCs w:val="24"/>
        </w:rPr>
        <w:t xml:space="preserve">The director of schools shall ensure that each school’s athletic director and coaches, employed or volunteer, annually complete the National Federal of State High School Associations Elective Course – Sudden Cardiac Arrest certification course. </w:t>
      </w:r>
    </w:p>
    <w:p w:rsidR="00314D12" w:rsidRPr="00314D12" w:rsidRDefault="00314D12" w:rsidP="00314D12">
      <w:pPr>
        <w:spacing w:before="240"/>
        <w:rPr>
          <w:rFonts w:ascii="Times New Roman" w:hAnsi="Times New Roman" w:cs="Times New Roman"/>
          <w:color w:val="000000"/>
          <w:sz w:val="24"/>
          <w:szCs w:val="24"/>
        </w:rPr>
      </w:pPr>
      <w:r w:rsidRPr="00314D12">
        <w:rPr>
          <w:rFonts w:ascii="Times New Roman" w:hAnsi="Times New Roman" w:cs="Times New Roman"/>
          <w:color w:val="000000"/>
          <w:sz w:val="24"/>
          <w:szCs w:val="24"/>
        </w:rPr>
        <w:t>Prior to the annual initiation of practice or competition, the following persons must review and sign a sudden cardiac arrest information sheet approved by the Tennessee Department of Health: each school athletic director, licensed healthcare professionals (if appointed), and each coach, employed or volunteer.</w:t>
      </w:r>
    </w:p>
    <w:p w:rsidR="00314D12" w:rsidRPr="00314D12" w:rsidRDefault="00314D12" w:rsidP="00314D12">
      <w:pPr>
        <w:spacing w:before="240"/>
        <w:rPr>
          <w:rFonts w:ascii="Times New Roman" w:hAnsi="Times New Roman" w:cs="Times New Roman"/>
          <w:color w:val="000000"/>
          <w:sz w:val="24"/>
          <w:szCs w:val="24"/>
        </w:rPr>
      </w:pPr>
      <w:r w:rsidRPr="00314D12">
        <w:rPr>
          <w:rFonts w:ascii="Times New Roman" w:hAnsi="Times New Roman" w:cs="Times New Roman"/>
          <w:color w:val="000000"/>
          <w:sz w:val="24"/>
          <w:szCs w:val="24"/>
        </w:rPr>
        <w:t xml:space="preserve">In addition, prior to the annual initiation of practice or competition, all student athletes and their parent(s) / guardian(s) shall review the sudden cardiac arrest information sheet approved by the Tennessee Department of Health. A form confirming this review shall be signed and returned by the student athlete, if the athlete is eighteen (18) years of age or older; or by the student athlete's parent(s) / guardian(s), for </w:t>
      </w:r>
      <w:proofErr w:type="gramStart"/>
      <w:r w:rsidRPr="00314D12">
        <w:rPr>
          <w:rFonts w:ascii="Times New Roman" w:hAnsi="Times New Roman" w:cs="Times New Roman"/>
          <w:color w:val="000000"/>
          <w:sz w:val="24"/>
          <w:szCs w:val="24"/>
        </w:rPr>
        <w:t>athletes</w:t>
      </w:r>
      <w:proofErr w:type="gramEnd"/>
      <w:r w:rsidRPr="00314D12">
        <w:rPr>
          <w:rFonts w:ascii="Times New Roman" w:hAnsi="Times New Roman" w:cs="Times New Roman"/>
          <w:color w:val="000000"/>
          <w:sz w:val="24"/>
          <w:szCs w:val="24"/>
        </w:rPr>
        <w:t xml:space="preserve"> younger than eighteen (18) years of age.</w:t>
      </w:r>
    </w:p>
    <w:p w:rsidR="00314D12" w:rsidRPr="00314D12" w:rsidRDefault="00314D12" w:rsidP="00314D12">
      <w:pPr>
        <w:spacing w:before="240"/>
        <w:rPr>
          <w:rFonts w:ascii="Times New Roman" w:hAnsi="Times New Roman" w:cs="Times New Roman"/>
          <w:color w:val="000000"/>
          <w:sz w:val="24"/>
          <w:szCs w:val="24"/>
        </w:rPr>
      </w:pPr>
      <w:r w:rsidRPr="00314D12">
        <w:rPr>
          <w:rFonts w:ascii="Times New Roman" w:hAnsi="Times New Roman" w:cs="Times New Roman"/>
          <w:color w:val="000000"/>
          <w:sz w:val="24"/>
          <w:szCs w:val="24"/>
        </w:rPr>
        <w:lastRenderedPageBreak/>
        <w:t>All documentation of the completion of a sudden cardiac arrest education course program and signed sudden cardiac arrest information sheets shall be maintained by the director of schools or his/her designee for a period of three (3) years.</w:t>
      </w:r>
    </w:p>
    <w:p w:rsidR="00314D12" w:rsidRPr="00314D12" w:rsidRDefault="00314D12" w:rsidP="00314D12">
      <w:pPr>
        <w:spacing w:before="240"/>
        <w:rPr>
          <w:rFonts w:ascii="Times New Roman" w:hAnsi="Times New Roman" w:cs="Times New Roman"/>
          <w:b/>
          <w:color w:val="000000"/>
          <w:sz w:val="24"/>
          <w:szCs w:val="24"/>
          <w:vertAlign w:val="superscript"/>
        </w:rPr>
      </w:pPr>
      <w:r w:rsidRPr="00314D12">
        <w:rPr>
          <w:rFonts w:ascii="Times New Roman" w:hAnsi="Times New Roman" w:cs="Times New Roman"/>
          <w:b/>
          <w:color w:val="000000"/>
          <w:sz w:val="24"/>
          <w:szCs w:val="24"/>
        </w:rPr>
        <w:t>Removal from Athletics</w:t>
      </w:r>
      <w:r w:rsidRPr="00314D12">
        <w:rPr>
          <w:rFonts w:ascii="Times New Roman" w:hAnsi="Times New Roman" w:cs="Times New Roman"/>
          <w:b/>
          <w:color w:val="000000"/>
          <w:sz w:val="24"/>
          <w:szCs w:val="24"/>
          <w:vertAlign w:val="superscript"/>
        </w:rPr>
        <w:t>1</w:t>
      </w:r>
    </w:p>
    <w:p w:rsidR="00314D12" w:rsidRPr="00314D12" w:rsidRDefault="00314D12" w:rsidP="00314D12">
      <w:pPr>
        <w:spacing w:before="240"/>
        <w:rPr>
          <w:rFonts w:ascii="Times New Roman" w:hAnsi="Times New Roman" w:cs="Times New Roman"/>
          <w:color w:val="000000"/>
          <w:sz w:val="24"/>
          <w:szCs w:val="24"/>
        </w:rPr>
      </w:pPr>
      <w:r w:rsidRPr="00314D12">
        <w:rPr>
          <w:rFonts w:ascii="Times New Roman" w:hAnsi="Times New Roman" w:cs="Times New Roman"/>
          <w:color w:val="000000"/>
          <w:sz w:val="24"/>
          <w:szCs w:val="24"/>
        </w:rPr>
        <w:t>Any student athlete who shows signs, symptoms and/or behaviors consistent with sudden cardiac arrest during or after an athletic activity or competition shall be immediately removed for evaluation by a licensed healthcare professional, if available, and if not, by a coach or other designated individuals. Signs, symptoms and/or behaviors include, but are not limited to: passing out; fainting; unexplained shortness of breath; chest pains; dizziness; racing heart rate; and extreme fatigue.</w:t>
      </w:r>
    </w:p>
    <w:p w:rsidR="00314D12" w:rsidRPr="00314D12" w:rsidRDefault="00314D12" w:rsidP="00314D12">
      <w:pPr>
        <w:spacing w:before="240"/>
        <w:rPr>
          <w:rFonts w:ascii="Times New Roman" w:hAnsi="Times New Roman" w:cs="Times New Roman"/>
          <w:color w:val="000000"/>
          <w:sz w:val="24"/>
          <w:szCs w:val="24"/>
        </w:rPr>
      </w:pPr>
      <w:r w:rsidRPr="00314D12">
        <w:rPr>
          <w:rFonts w:ascii="Times New Roman" w:hAnsi="Times New Roman" w:cs="Times New Roman"/>
          <w:color w:val="000000"/>
          <w:sz w:val="24"/>
          <w:szCs w:val="24"/>
        </w:rPr>
        <w:t xml:space="preserve">Student athletes who have been removed from an athletic activity or competition shall not return to any supervised team activities involving physical exertion, including games, competitions, or practices, until the student athlete has been evaluated by a licensed medical doctor or osteopathic physician. Clearance to full or graduated return to practice or play must be in writing. </w:t>
      </w:r>
    </w:p>
    <w:p w:rsidR="00C40946" w:rsidRDefault="00C40946" w:rsidP="00314D12">
      <w:pPr>
        <w:suppressLineNumbers/>
        <w:spacing w:before="240" w:after="0" w:line="240" w:lineRule="auto"/>
        <w:rPr>
          <w:rFonts w:ascii="Times-Roman" w:hAnsi="Times-Roman" w:cs="Times-Roman"/>
          <w:color w:val="000000"/>
          <w:sz w:val="24"/>
          <w:szCs w:val="24"/>
        </w:rPr>
      </w:pPr>
    </w:p>
    <w:p w:rsidR="00C40946" w:rsidRDefault="00C40946" w:rsidP="00314D12">
      <w:pPr>
        <w:suppressLineNumbers/>
        <w:spacing w:before="240" w:after="0" w:line="240" w:lineRule="auto"/>
        <w:rPr>
          <w:rFonts w:ascii="Times-Roman" w:hAnsi="Times-Roman" w:cs="Times-Roman"/>
          <w:color w:val="000000"/>
          <w:sz w:val="24"/>
          <w:szCs w:val="24"/>
        </w:rPr>
      </w:pPr>
    </w:p>
    <w:p w:rsidR="00C40946" w:rsidRDefault="00C40946" w:rsidP="00314D12">
      <w:pPr>
        <w:suppressLineNumbers/>
        <w:spacing w:before="240" w:after="0" w:line="240" w:lineRule="auto"/>
        <w:rPr>
          <w:rFonts w:ascii="Times-Roman" w:hAnsi="Times-Roman" w:cs="Times-Roman"/>
          <w:color w:val="000000"/>
          <w:sz w:val="24"/>
          <w:szCs w:val="24"/>
        </w:rPr>
      </w:pPr>
    </w:p>
    <w:p w:rsidR="00C40946" w:rsidRDefault="00C40946" w:rsidP="00314D12">
      <w:pPr>
        <w:suppressLineNumbers/>
        <w:spacing w:before="240" w:after="0" w:line="240" w:lineRule="auto"/>
        <w:rPr>
          <w:rFonts w:ascii="Times-Roman" w:hAnsi="Times-Roman" w:cs="Times-Roman"/>
          <w:color w:val="000000"/>
          <w:sz w:val="24"/>
          <w:szCs w:val="24"/>
        </w:rPr>
      </w:pPr>
    </w:p>
    <w:p w:rsidR="00C40946" w:rsidRDefault="00C40946" w:rsidP="00314D12">
      <w:pPr>
        <w:suppressLineNumbers/>
        <w:spacing w:before="240" w:after="0" w:line="240" w:lineRule="auto"/>
        <w:rPr>
          <w:rFonts w:ascii="Times-Roman" w:hAnsi="Times-Roman" w:cs="Times-Roman"/>
          <w:color w:val="000000"/>
          <w:sz w:val="24"/>
          <w:szCs w:val="24"/>
        </w:rPr>
      </w:pPr>
    </w:p>
    <w:p w:rsidR="00C40946" w:rsidRDefault="00C40946" w:rsidP="00314D12">
      <w:pPr>
        <w:suppressLineNumbers/>
        <w:spacing w:before="240" w:after="0" w:line="240" w:lineRule="auto"/>
        <w:rPr>
          <w:rFonts w:ascii="Times-Roman" w:hAnsi="Times-Roman" w:cs="Times-Roman"/>
          <w:color w:val="000000"/>
          <w:sz w:val="24"/>
          <w:szCs w:val="24"/>
        </w:rPr>
      </w:pPr>
    </w:p>
    <w:p w:rsidR="00C40946" w:rsidRDefault="00C40946" w:rsidP="00314D12">
      <w:pPr>
        <w:suppressLineNumbers/>
        <w:spacing w:before="240" w:after="0" w:line="240" w:lineRule="auto"/>
        <w:rPr>
          <w:rFonts w:ascii="Times-Roman" w:hAnsi="Times-Roman" w:cs="Times-Roman"/>
          <w:color w:val="000000"/>
          <w:sz w:val="24"/>
          <w:szCs w:val="24"/>
        </w:rPr>
      </w:pPr>
    </w:p>
    <w:p w:rsidR="00C40946" w:rsidRDefault="00C40946" w:rsidP="00314D12">
      <w:pPr>
        <w:suppressLineNumbers/>
        <w:spacing w:before="240" w:after="0" w:line="240" w:lineRule="auto"/>
        <w:rPr>
          <w:rFonts w:ascii="Times-Roman" w:hAnsi="Times-Roman" w:cs="Times-Roman"/>
          <w:color w:val="000000"/>
          <w:sz w:val="24"/>
          <w:szCs w:val="24"/>
        </w:rPr>
      </w:pPr>
    </w:p>
    <w:p w:rsidR="007674B4" w:rsidRDefault="007674B4" w:rsidP="00314D12">
      <w:pPr>
        <w:suppressLineNumbers/>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bookmarkStart w:id="1" w:name="_GoBack"/>
      <w:bookmarkEnd w:id="1"/>
      <w:r>
        <w:rPr>
          <w:rFonts w:ascii="Times-Roman" w:hAnsi="Times-Roman" w:cs="Times-Roman"/>
          <w:color w:val="000000"/>
          <w:sz w:val="24"/>
          <w:szCs w:val="24"/>
        </w:rPr>
        <w:br/>
      </w:r>
    </w:p>
    <w:p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6D31C4" w:rsidTr="007674B4">
        <w:trPr>
          <w:trHeight w:val="215"/>
        </w:trPr>
        <w:tc>
          <w:tcPr>
            <w:tcW w:w="5220" w:type="dxa"/>
          </w:tcPr>
          <w:p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rsidR="007674B4" w:rsidRPr="006D31C4" w:rsidRDefault="007674B4" w:rsidP="00EF3C03">
            <w:pPr>
              <w:spacing w:before="240"/>
              <w:rPr>
                <w:rFonts w:ascii="Times-Roman" w:hAnsi="Times-Roman" w:cs="Times-Roman"/>
                <w:color w:val="000000"/>
                <w:sz w:val="18"/>
                <w:szCs w:val="18"/>
              </w:rPr>
            </w:pPr>
          </w:p>
        </w:tc>
      </w:tr>
      <w:tr w:rsidR="007674B4" w:rsidRPr="006D31C4" w:rsidTr="007674B4">
        <w:trPr>
          <w:trHeight w:val="323"/>
        </w:trPr>
        <w:tc>
          <w:tcPr>
            <w:tcW w:w="5220" w:type="dxa"/>
          </w:tcPr>
          <w:p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rsidR="007674B4" w:rsidRPr="006D31C4" w:rsidRDefault="007674B4" w:rsidP="007674B4">
            <w:pPr>
              <w:spacing w:before="120"/>
              <w:rPr>
                <w:rFonts w:ascii="Times-Roman" w:hAnsi="Times-Roman" w:cs="Times-Roman"/>
                <w:color w:val="000000"/>
                <w:sz w:val="18"/>
                <w:szCs w:val="18"/>
              </w:rPr>
            </w:pPr>
          </w:p>
        </w:tc>
      </w:tr>
      <w:tr w:rsidR="007674B4" w:rsidRPr="006D31C4" w:rsidTr="007674B4">
        <w:tc>
          <w:tcPr>
            <w:tcW w:w="5220" w:type="dxa"/>
          </w:tcPr>
          <w:p w:rsidR="007674B4" w:rsidRPr="006D31C4" w:rsidRDefault="00314D12" w:rsidP="006D31C4">
            <w:pPr>
              <w:pStyle w:val="ListParagraph"/>
              <w:numPr>
                <w:ilvl w:val="0"/>
                <w:numId w:val="3"/>
              </w:numPr>
              <w:spacing w:before="240"/>
              <w:ind w:left="360" w:right="720"/>
              <w:rPr>
                <w:rFonts w:ascii="Times-Roman" w:hAnsi="Times-Roman" w:cs="Times-Roman"/>
                <w:color w:val="000000"/>
                <w:sz w:val="18"/>
                <w:szCs w:val="18"/>
              </w:rPr>
            </w:pPr>
            <w:r w:rsidRPr="00F846FA">
              <w:rPr>
                <w:rFonts w:ascii="Times New Roman" w:hAnsi="Times New Roman" w:cs="Times New Roman"/>
                <w:sz w:val="20"/>
                <w:szCs w:val="20"/>
              </w:rPr>
              <w:t xml:space="preserve">TCA 68-6-101, et. </w:t>
            </w:r>
            <w:proofErr w:type="spellStart"/>
            <w:r w:rsidRPr="00F846FA">
              <w:rPr>
                <w:rFonts w:ascii="Times New Roman" w:hAnsi="Times New Roman" w:cs="Times New Roman"/>
                <w:sz w:val="20"/>
                <w:szCs w:val="20"/>
              </w:rPr>
              <w:t>seq</w:t>
            </w:r>
            <w:proofErr w:type="spellEnd"/>
          </w:p>
        </w:tc>
        <w:tc>
          <w:tcPr>
            <w:tcW w:w="4554" w:type="dxa"/>
          </w:tcPr>
          <w:p w:rsidR="007674B4" w:rsidRPr="006D31C4" w:rsidRDefault="007674B4" w:rsidP="006D31C4">
            <w:pPr>
              <w:spacing w:before="240"/>
              <w:rPr>
                <w:rFonts w:ascii="Times-Roman" w:hAnsi="Times-Roman" w:cs="Times-Roman"/>
                <w:color w:val="000000"/>
                <w:sz w:val="18"/>
                <w:szCs w:val="18"/>
              </w:rPr>
            </w:pPr>
          </w:p>
        </w:tc>
      </w:tr>
    </w:tbl>
    <w:p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56E" w:rsidRDefault="0051056E" w:rsidP="003D2A67">
      <w:pPr>
        <w:spacing w:after="0" w:line="240" w:lineRule="auto"/>
      </w:pPr>
      <w:r>
        <w:separator/>
      </w:r>
    </w:p>
  </w:endnote>
  <w:endnote w:type="continuationSeparator" w:id="0">
    <w:p w:rsidR="0051056E" w:rsidRDefault="0051056E"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314D12">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314D12">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E04FA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314D12">
      <w:rPr>
        <w:rFonts w:ascii="Times New Roman" w:hAnsi="Times New Roman" w:cs="Times New Roman"/>
        <w:noProof/>
        <w:sz w:val="16"/>
        <w:szCs w:val="16"/>
      </w:rPr>
      <w:t>September 11,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56E" w:rsidRDefault="0051056E" w:rsidP="003D2A67">
      <w:pPr>
        <w:spacing w:after="0" w:line="240" w:lineRule="auto"/>
      </w:pPr>
      <w:r>
        <w:separator/>
      </w:r>
    </w:p>
  </w:footnote>
  <w:footnote w:type="continuationSeparator" w:id="0">
    <w:p w:rsidR="0051056E" w:rsidRDefault="0051056E"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Default="00314D12">
    <w:pPr>
      <w:pStyle w:val="Header"/>
      <w:rPr>
        <w:rFonts w:ascii="Times New Roman" w:hAnsi="Times New Roman" w:cs="Times New Roman"/>
        <w:b/>
        <w:sz w:val="16"/>
        <w:szCs w:val="16"/>
      </w:rPr>
    </w:pPr>
    <w:r>
      <w:rPr>
        <w:rFonts w:ascii="Times New Roman" w:hAnsi="Times New Roman" w:cs="Times New Roman"/>
        <w:b/>
        <w:sz w:val="16"/>
        <w:szCs w:val="16"/>
      </w:rPr>
      <w:t>Prevention and Treatment of Sudden Cardiac Arrest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6.420</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CBF31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6E"/>
    <w:rsid w:val="000C67FF"/>
    <w:rsid w:val="000D266E"/>
    <w:rsid w:val="001160A6"/>
    <w:rsid w:val="00292C97"/>
    <w:rsid w:val="002F4992"/>
    <w:rsid w:val="00314D12"/>
    <w:rsid w:val="00320562"/>
    <w:rsid w:val="003D2A67"/>
    <w:rsid w:val="00407690"/>
    <w:rsid w:val="004518BE"/>
    <w:rsid w:val="00470EE4"/>
    <w:rsid w:val="004932A3"/>
    <w:rsid w:val="004C6947"/>
    <w:rsid w:val="0051056E"/>
    <w:rsid w:val="00530C40"/>
    <w:rsid w:val="005B3F8D"/>
    <w:rsid w:val="00654E2A"/>
    <w:rsid w:val="006701C4"/>
    <w:rsid w:val="006D31C4"/>
    <w:rsid w:val="00740AFA"/>
    <w:rsid w:val="007674B4"/>
    <w:rsid w:val="00780481"/>
    <w:rsid w:val="007843D9"/>
    <w:rsid w:val="007B54B2"/>
    <w:rsid w:val="008A6E69"/>
    <w:rsid w:val="008B4231"/>
    <w:rsid w:val="00940AD0"/>
    <w:rsid w:val="00952F64"/>
    <w:rsid w:val="0097652F"/>
    <w:rsid w:val="00A52AAD"/>
    <w:rsid w:val="00A63F7F"/>
    <w:rsid w:val="00AD13E9"/>
    <w:rsid w:val="00B43C06"/>
    <w:rsid w:val="00B82C2A"/>
    <w:rsid w:val="00C40946"/>
    <w:rsid w:val="00C70B45"/>
    <w:rsid w:val="00C9149F"/>
    <w:rsid w:val="00CB7BA8"/>
    <w:rsid w:val="00D22888"/>
    <w:rsid w:val="00D56508"/>
    <w:rsid w:val="00DB5D2F"/>
    <w:rsid w:val="00DD2C40"/>
    <w:rsid w:val="00E624BE"/>
    <w:rsid w:val="00E709B5"/>
    <w:rsid w:val="00E76FED"/>
    <w:rsid w:val="00E84E24"/>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1B95"/>
  <w15:docId w15:val="{030098CF-6CEE-44AA-8943-18E34ED5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ropbox\TSBA%20-%20Policy%20Department%20(1)\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F7E0BB8AED4C5CB963E28DAA2203A2"/>
        <w:category>
          <w:name w:val="General"/>
          <w:gallery w:val="placeholder"/>
        </w:category>
        <w:types>
          <w:type w:val="bbPlcHdr"/>
        </w:types>
        <w:behaviors>
          <w:behavior w:val="content"/>
        </w:behaviors>
        <w:guid w:val="{A67B651C-F62F-40A2-8C1A-6018DD40020E}"/>
      </w:docPartPr>
      <w:docPartBody>
        <w:p w:rsidR="00000000" w:rsidRDefault="00ED2AB6">
          <w:pPr>
            <w:pStyle w:val="F3F7E0BB8AED4C5CB963E28DAA2203A2"/>
          </w:pPr>
          <w:r>
            <w:rPr>
              <w:rStyle w:val="PlaceholderText"/>
            </w:rPr>
            <w:t>Click here to choose a school board</w:t>
          </w:r>
          <w:r w:rsidRPr="004A036A">
            <w:rPr>
              <w:rStyle w:val="PlaceholderText"/>
            </w:rPr>
            <w:t>.</w:t>
          </w:r>
        </w:p>
      </w:docPartBody>
    </w:docPart>
    <w:docPart>
      <w:docPartPr>
        <w:name w:val="7C1D9304B8D94194A38E06A752777252"/>
        <w:category>
          <w:name w:val="General"/>
          <w:gallery w:val="placeholder"/>
        </w:category>
        <w:types>
          <w:type w:val="bbPlcHdr"/>
        </w:types>
        <w:behaviors>
          <w:behavior w:val="content"/>
        </w:behaviors>
        <w:guid w:val="{8A07382B-DF2B-44B7-9DF5-D4DA9D697D39}"/>
      </w:docPartPr>
      <w:docPartBody>
        <w:p w:rsidR="00000000" w:rsidRDefault="00D15BEF">
          <w:pPr>
            <w:pStyle w:val="7C1D9304B8D94194A38E06A752777252"/>
          </w:pPr>
          <w:r w:rsidRPr="00224AE2">
            <w:rPr>
              <w:rStyle w:val="PlaceholderText"/>
            </w:rPr>
            <w:t>Click here to enter text.</w:t>
          </w:r>
        </w:p>
      </w:docPartBody>
    </w:docPart>
    <w:docPart>
      <w:docPartPr>
        <w:name w:val="4762AC039F444DE5A77980178CF71D01"/>
        <w:category>
          <w:name w:val="General"/>
          <w:gallery w:val="placeholder"/>
        </w:category>
        <w:types>
          <w:type w:val="bbPlcHdr"/>
        </w:types>
        <w:behaviors>
          <w:behavior w:val="content"/>
        </w:behaviors>
        <w:guid w:val="{2D14B40C-818D-4D25-9B0A-DCE2CA7764EC}"/>
      </w:docPartPr>
      <w:docPartBody>
        <w:p w:rsidR="00000000" w:rsidRDefault="00ED2AB6">
          <w:pPr>
            <w:pStyle w:val="4762AC039F444DE5A77980178CF71D01"/>
          </w:pPr>
          <w:r>
            <w:rPr>
              <w:rStyle w:val="PlaceholderText"/>
            </w:rPr>
            <w:t>Click here to enter the policy title</w:t>
          </w:r>
          <w:r w:rsidRPr="00CD7C0B">
            <w:rPr>
              <w:rStyle w:val="PlaceholderText"/>
            </w:rPr>
            <w:t>.</w:t>
          </w:r>
        </w:p>
      </w:docPartBody>
    </w:docPart>
    <w:docPart>
      <w:docPartPr>
        <w:name w:val="6779E58915E44B15919008E2AB168FE1"/>
        <w:category>
          <w:name w:val="General"/>
          <w:gallery w:val="placeholder"/>
        </w:category>
        <w:types>
          <w:type w:val="bbPlcHdr"/>
        </w:types>
        <w:behaviors>
          <w:behavior w:val="content"/>
        </w:behaviors>
        <w:guid w:val="{AE8E2EDF-7CD4-4BE1-B880-A7C2EB386DCD}"/>
      </w:docPartPr>
      <w:docPartBody>
        <w:p w:rsidR="00000000" w:rsidRDefault="00ED2AB6">
          <w:pPr>
            <w:pStyle w:val="6779E58915E44B15919008E2AB168FE1"/>
          </w:pPr>
          <w:r>
            <w:rPr>
              <w:rStyle w:val="PlaceholderText"/>
            </w:rPr>
            <w:t>Enter Code</w:t>
          </w:r>
        </w:p>
      </w:docPartBody>
    </w:docPart>
    <w:docPart>
      <w:docPartPr>
        <w:name w:val="6D09BA23975140CDB22087FBE6C2A610"/>
        <w:category>
          <w:name w:val="General"/>
          <w:gallery w:val="placeholder"/>
        </w:category>
        <w:types>
          <w:type w:val="bbPlcHdr"/>
        </w:types>
        <w:behaviors>
          <w:behavior w:val="content"/>
        </w:behaviors>
        <w:guid w:val="{938293A2-928A-4D21-BEBD-A66DE1A79964}"/>
      </w:docPartPr>
      <w:docPartBody>
        <w:p w:rsidR="00000000" w:rsidRDefault="00D533AD">
          <w:pPr>
            <w:pStyle w:val="6D09BA23975140CDB22087FBE6C2A610"/>
          </w:pPr>
          <w:r w:rsidRPr="00CD7C0B">
            <w:rPr>
              <w:rStyle w:val="PlaceholderText"/>
            </w:rPr>
            <w:t>Click here to enter a date.</w:t>
          </w:r>
        </w:p>
      </w:docPartBody>
    </w:docPart>
    <w:docPart>
      <w:docPartPr>
        <w:name w:val="F4478F52662C4E65AFFAD5A9A21BF81B"/>
        <w:category>
          <w:name w:val="General"/>
          <w:gallery w:val="placeholder"/>
        </w:category>
        <w:types>
          <w:type w:val="bbPlcHdr"/>
        </w:types>
        <w:behaviors>
          <w:behavior w:val="content"/>
        </w:behaviors>
        <w:guid w:val="{54A533BA-7877-4F34-90D4-DBB8616CE2E6}"/>
      </w:docPartPr>
      <w:docPartBody>
        <w:p w:rsidR="00000000" w:rsidRDefault="00ED2AB6">
          <w:pPr>
            <w:pStyle w:val="F4478F52662C4E65AFFAD5A9A21BF81B"/>
          </w:pPr>
          <w:r>
            <w:rPr>
              <w:rStyle w:val="PlaceholderText"/>
            </w:rPr>
            <w:t xml:space="preserve"> </w:t>
          </w:r>
        </w:p>
      </w:docPartBody>
    </w:docPart>
    <w:docPart>
      <w:docPartPr>
        <w:name w:val="B093BF12F01540118CCB734C8E0C91C5"/>
        <w:category>
          <w:name w:val="General"/>
          <w:gallery w:val="placeholder"/>
        </w:category>
        <w:types>
          <w:type w:val="bbPlcHdr"/>
        </w:types>
        <w:behaviors>
          <w:behavior w:val="content"/>
        </w:behaviors>
        <w:guid w:val="{F2DD08CF-446B-4104-BDB9-683EC44C6C6B}"/>
      </w:docPartPr>
      <w:docPartBody>
        <w:p w:rsidR="00000000" w:rsidRDefault="00ED2AB6">
          <w:pPr>
            <w:pStyle w:val="B093BF12F01540118CCB734C8E0C91C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F7E0BB8AED4C5CB963E28DAA2203A2">
    <w:name w:val="F3F7E0BB8AED4C5CB963E28DAA2203A2"/>
  </w:style>
  <w:style w:type="paragraph" w:customStyle="1" w:styleId="7C1D9304B8D94194A38E06A752777252">
    <w:name w:val="7C1D9304B8D94194A38E06A752777252"/>
  </w:style>
  <w:style w:type="paragraph" w:customStyle="1" w:styleId="4762AC039F444DE5A77980178CF71D01">
    <w:name w:val="4762AC039F444DE5A77980178CF71D01"/>
  </w:style>
  <w:style w:type="paragraph" w:customStyle="1" w:styleId="6779E58915E44B15919008E2AB168FE1">
    <w:name w:val="6779E58915E44B15919008E2AB168FE1"/>
  </w:style>
  <w:style w:type="paragraph" w:customStyle="1" w:styleId="6D09BA23975140CDB22087FBE6C2A610">
    <w:name w:val="6D09BA23975140CDB22087FBE6C2A610"/>
  </w:style>
  <w:style w:type="paragraph" w:customStyle="1" w:styleId="F4478F52662C4E65AFFAD5A9A21BF81B">
    <w:name w:val="F4478F52662C4E65AFFAD5A9A21BF81B"/>
  </w:style>
  <w:style w:type="paragraph" w:customStyle="1" w:styleId="B093BF12F01540118CCB734C8E0C91C5">
    <w:name w:val="B093BF12F01540118CCB734C8E0C9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5CDBDE0-9B68-46A6-9B2D-A1F9484F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Jennifer White</dc:creator>
  <cp:keywords>6.204</cp:keywords>
  <cp:lastModifiedBy>Jennifer White</cp:lastModifiedBy>
  <cp:revision>2</cp:revision>
  <cp:lastPrinted>2017-09-11T18:56:00Z</cp:lastPrinted>
  <dcterms:created xsi:type="dcterms:W3CDTF">2017-09-11T18:53:00Z</dcterms:created>
  <dcterms:modified xsi:type="dcterms:W3CDTF">2017-09-11T18:57:00Z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