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CA07A29" w14:textId="57BFFAE5" w:rsidR="001F06DF" w:rsidRDefault="006B5A63" w:rsidP="00170FE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AB495" wp14:editId="0DDCBBB9">
                <wp:simplePos x="0" y="0"/>
                <wp:positionH relativeFrom="column">
                  <wp:posOffset>-795020</wp:posOffset>
                </wp:positionH>
                <wp:positionV relativeFrom="paragraph">
                  <wp:posOffset>1068705</wp:posOffset>
                </wp:positionV>
                <wp:extent cx="6972300" cy="57594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575945"/>
                        </a:xfrm>
                        <a:prstGeom prst="rect">
                          <a:avLst/>
                        </a:prstGeom>
                        <a:solidFill>
                          <a:srgbClr val="83171A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txbx>
                        <w:txbxContent>
                          <w:p w14:paraId="76FAB649" w14:textId="77777777" w:rsidR="00B169C0" w:rsidRPr="004516D5" w:rsidRDefault="00B169C0" w:rsidP="006B5A63">
                            <w:pPr>
                              <w:pStyle w:val="MainHeader"/>
                            </w:pPr>
                            <w:r w:rsidRPr="004516D5">
                              <w:t>Underage Drinking Prevention National Media Campaign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0AB49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2.6pt;margin-top:84.15pt;width:549pt;height:45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" fillcolor="#83171a" stroked="f">
                <v:textbox inset="14.4pt,,14.4pt">
                  <w:txbxContent>
                    <w:p w14:paraId="76FAB649" w14:textId="77777777" w:rsidR="00B169C0" w:rsidRPr="004516D5" w:rsidRDefault="00B169C0" w:rsidP="006B5A63">
                      <w:pPr>
                        <w:pStyle w:val="MainHeader"/>
                      </w:pPr>
                      <w:r w:rsidRPr="004516D5">
                        <w:t>Underage Drinking Prevention National Media Campaign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7B06">
        <w:rPr>
          <w:noProof/>
        </w:rPr>
        <w:drawing>
          <wp:inline distT="0" distB="0" distL="0" distR="0" wp14:anchorId="2F4F6DA9" wp14:editId="1D6CACC8">
            <wp:extent cx="1347656" cy="886968"/>
            <wp:effectExtent l="0" t="0" r="0" b="0"/>
            <wp:docPr id="1" name="Picture 1" descr="Talk they hear yo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HSA_Talk_Logo_Black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7" t="28929" r="22357" b="24015"/>
                    <a:stretch/>
                  </pic:blipFill>
                  <pic:spPr bwMode="auto">
                    <a:xfrm>
                      <a:off x="0" y="0"/>
                      <a:ext cx="1356045" cy="892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4825BD" w14:textId="3A1AC5B5" w:rsidR="00621E65" w:rsidRPr="004A09FF" w:rsidRDefault="00621E65" w:rsidP="001B0B37">
      <w:pPr>
        <w:pStyle w:val="ThirdHeader"/>
        <w:spacing w:before="120" w:after="1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8F24A" wp14:editId="7D109358">
                <wp:simplePos x="0" y="0"/>
                <wp:positionH relativeFrom="column">
                  <wp:posOffset>0</wp:posOffset>
                </wp:positionH>
                <wp:positionV relativeFrom="paragraph">
                  <wp:posOffset>828040</wp:posOffset>
                </wp:positionV>
                <wp:extent cx="264795" cy="228600"/>
                <wp:effectExtent l="0" t="0" r="0" b="0"/>
                <wp:wrapThrough wrapText="bothSides">
                  <wp:wrapPolygon edited="0">
                    <wp:start x="21600" y="21600"/>
                    <wp:lineTo x="21600" y="16800"/>
                    <wp:lineTo x="17456" y="2400"/>
                    <wp:lineTo x="7096" y="2400"/>
                    <wp:lineTo x="2953" y="16800"/>
                    <wp:lineTo x="2953" y="21600"/>
                    <wp:lineTo x="21600" y="21600"/>
                  </wp:wrapPolygon>
                </wp:wrapThrough>
                <wp:docPr id="4" name="Isosceles Triangle 4" descr="Imag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4795" cy="22860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alt="Description: Image" style="position:absolute;margin-left:0;margin-top:65.2pt;width:20.85pt;height:18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" fillcolor="black [3213]" stroked="f">
                <w10:wrap type="through"/>
              </v:shape>
            </w:pict>
          </mc:Fallback>
        </mc:AlternateContent>
      </w:r>
      <w:r w:rsidR="00847B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B8A20" wp14:editId="73DED587">
                <wp:simplePos x="0" y="0"/>
                <wp:positionH relativeFrom="column">
                  <wp:posOffset>-114300</wp:posOffset>
                </wp:positionH>
                <wp:positionV relativeFrom="paragraph">
                  <wp:posOffset>599440</wp:posOffset>
                </wp:positionV>
                <wp:extent cx="6515100" cy="342900"/>
                <wp:effectExtent l="0" t="0" r="1270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CCB2A" w14:textId="6BFC8CC8" w:rsidR="00B169C0" w:rsidRPr="000759DE" w:rsidRDefault="00B169C0" w:rsidP="00E54D36">
                            <w:pPr>
                              <w:pStyle w:val="SecondHead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Talking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6B8A20" id="Text Box 3" o:spid="_x0000_s1027" type="#_x0000_t202" style="position:absolute;left:0;text-align:left;margin-left:-9pt;margin-top:47.2pt;width:513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" fillcolor="black [3213]" stroked="f">
                <v:textbox inset="14.4pt,,14.4pt">
                  <w:txbxContent>
                    <w:p w14:paraId="13ACCB2A" w14:textId="6BFC8CC8" w:rsidR="00B169C0" w:rsidRPr="000759DE" w:rsidRDefault="00B169C0" w:rsidP="00E54D36">
                      <w:pPr>
                        <w:pStyle w:val="SecondHead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Talking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09BD" w:rsidRPr="004A09FF">
        <w:rPr>
          <w:sz w:val="22"/>
          <w:szCs w:val="22"/>
        </w:rPr>
        <w:t>Proble</w:t>
      </w:r>
      <w:r w:rsidR="00733F46" w:rsidRPr="004A09FF">
        <w:rPr>
          <w:sz w:val="22"/>
          <w:szCs w:val="22"/>
        </w:rPr>
        <w:t>m</w:t>
      </w:r>
    </w:p>
    <w:p w14:paraId="74BC978F" w14:textId="1765A352" w:rsidR="00733F46" w:rsidRPr="004A09FF" w:rsidRDefault="00733F46" w:rsidP="00733F46">
      <w:pPr>
        <w:pStyle w:val="ThirdHeader"/>
        <w:spacing w:before="220" w:after="220"/>
        <w:rPr>
          <w:b w:val="0"/>
          <w:color w:val="auto"/>
          <w:sz w:val="22"/>
          <w:szCs w:val="22"/>
        </w:rPr>
      </w:pPr>
      <w:r w:rsidRPr="004A09FF">
        <w:rPr>
          <w:b w:val="0"/>
          <w:color w:val="auto"/>
          <w:sz w:val="22"/>
          <w:szCs w:val="22"/>
        </w:rPr>
        <w:t xml:space="preserve">Underage drinking continues to be a national public health issue, especially among adolescents. </w:t>
      </w:r>
      <w:r w:rsidR="00B169C0" w:rsidRPr="004A09FF">
        <w:rPr>
          <w:b w:val="0"/>
          <w:color w:val="auto"/>
          <w:sz w:val="22"/>
          <w:szCs w:val="22"/>
        </w:rPr>
        <w:t xml:space="preserve"> </w:t>
      </w:r>
      <w:r w:rsidRPr="004A09FF">
        <w:rPr>
          <w:b w:val="0"/>
          <w:color w:val="auto"/>
          <w:sz w:val="22"/>
          <w:szCs w:val="22"/>
        </w:rPr>
        <w:t xml:space="preserve">An estimated 10 million people </w:t>
      </w:r>
      <w:r w:rsidR="00A570E4">
        <w:rPr>
          <w:b w:val="0"/>
          <w:color w:val="auto"/>
          <w:sz w:val="22"/>
          <w:szCs w:val="22"/>
        </w:rPr>
        <w:t>younger than</w:t>
      </w:r>
      <w:r w:rsidR="00A570E4" w:rsidRPr="004A09FF">
        <w:rPr>
          <w:b w:val="0"/>
          <w:color w:val="auto"/>
          <w:sz w:val="22"/>
          <w:szCs w:val="22"/>
        </w:rPr>
        <w:t xml:space="preserve"> </w:t>
      </w:r>
      <w:r w:rsidRPr="004A09FF">
        <w:rPr>
          <w:b w:val="0"/>
          <w:color w:val="auto"/>
          <w:sz w:val="22"/>
          <w:szCs w:val="22"/>
        </w:rPr>
        <w:t>the age of 21 in the United States drank alcohol in the past month.</w:t>
      </w:r>
      <w:r w:rsidRPr="004A09FF">
        <w:rPr>
          <w:b w:val="0"/>
          <w:color w:val="auto"/>
          <w:sz w:val="22"/>
          <w:szCs w:val="22"/>
          <w:vertAlign w:val="superscript"/>
        </w:rPr>
        <w:t>1</w:t>
      </w:r>
    </w:p>
    <w:p w14:paraId="1B711D37" w14:textId="3C951295" w:rsidR="00733F46" w:rsidRPr="004A09FF" w:rsidRDefault="00733F46" w:rsidP="00733F46">
      <w:pPr>
        <w:pStyle w:val="ThirdHeader"/>
        <w:spacing w:before="220" w:after="220"/>
        <w:rPr>
          <w:b w:val="0"/>
          <w:color w:val="auto"/>
          <w:sz w:val="22"/>
          <w:szCs w:val="22"/>
        </w:rPr>
      </w:pPr>
      <w:r w:rsidRPr="004A09FF">
        <w:rPr>
          <w:b w:val="0"/>
          <w:color w:val="auto"/>
          <w:sz w:val="22"/>
          <w:szCs w:val="22"/>
        </w:rPr>
        <w:t xml:space="preserve">Underage drinking puts children at risk for a variety of short- and long-term physical and emotional problems. </w:t>
      </w:r>
      <w:r w:rsidR="00B169C0" w:rsidRPr="004A09FF">
        <w:rPr>
          <w:b w:val="0"/>
          <w:color w:val="auto"/>
          <w:sz w:val="22"/>
          <w:szCs w:val="22"/>
        </w:rPr>
        <w:t xml:space="preserve"> </w:t>
      </w:r>
      <w:r w:rsidRPr="004A09FF">
        <w:rPr>
          <w:b w:val="0"/>
          <w:color w:val="auto"/>
          <w:sz w:val="22"/>
          <w:szCs w:val="22"/>
        </w:rPr>
        <w:t>It also affects and endangers the lives of those around them.</w:t>
      </w:r>
      <w:r w:rsidRPr="004A09FF">
        <w:rPr>
          <w:b w:val="0"/>
          <w:color w:val="auto"/>
          <w:sz w:val="22"/>
          <w:szCs w:val="22"/>
          <w:vertAlign w:val="superscript"/>
        </w:rPr>
        <w:t>2</w:t>
      </w:r>
    </w:p>
    <w:p w14:paraId="176F52F1" w14:textId="77777777" w:rsidR="00733F46" w:rsidRPr="004A09FF" w:rsidRDefault="00733F46" w:rsidP="00733F46">
      <w:pPr>
        <w:pStyle w:val="ThirdHeader"/>
        <w:spacing w:before="220" w:after="220"/>
        <w:rPr>
          <w:b w:val="0"/>
          <w:color w:val="auto"/>
          <w:sz w:val="22"/>
          <w:szCs w:val="22"/>
        </w:rPr>
      </w:pPr>
      <w:r w:rsidRPr="004A09FF">
        <w:rPr>
          <w:b w:val="0"/>
          <w:color w:val="auto"/>
          <w:sz w:val="22"/>
          <w:szCs w:val="22"/>
        </w:rPr>
        <w:t>In the words of The Surgeon General’s Call to Action to Prevent and Reduce Underage Drinking, “Underage alcohol use is everybody’s problem—and its solution is everybody’s responsibility.”</w:t>
      </w:r>
      <w:r w:rsidRPr="004A09FF">
        <w:rPr>
          <w:b w:val="0"/>
          <w:color w:val="auto"/>
          <w:sz w:val="22"/>
          <w:szCs w:val="22"/>
          <w:vertAlign w:val="superscript"/>
        </w:rPr>
        <w:t>3</w:t>
      </w:r>
    </w:p>
    <w:p w14:paraId="02E1556B" w14:textId="52B83B87" w:rsidR="00745EEF" w:rsidRPr="004A09FF" w:rsidRDefault="00733F46" w:rsidP="00733F46">
      <w:pPr>
        <w:pStyle w:val="ThirdHeader"/>
        <w:spacing w:before="220" w:after="220"/>
        <w:rPr>
          <w:sz w:val="22"/>
          <w:szCs w:val="22"/>
        </w:rPr>
      </w:pPr>
      <w:r w:rsidRPr="004A09FF">
        <w:rPr>
          <w:sz w:val="22"/>
          <w:szCs w:val="22"/>
        </w:rPr>
        <w:t>Mission</w:t>
      </w:r>
    </w:p>
    <w:p w14:paraId="2CC5E1F6" w14:textId="31373371" w:rsidR="00733F46" w:rsidRPr="004A09FF" w:rsidRDefault="00733F46" w:rsidP="00782E75">
      <w:pPr>
        <w:pStyle w:val="ThirdHeader"/>
        <w:spacing w:before="220" w:after="220"/>
        <w:rPr>
          <w:b w:val="0"/>
          <w:color w:val="auto"/>
          <w:sz w:val="22"/>
          <w:szCs w:val="22"/>
        </w:rPr>
      </w:pPr>
      <w:r w:rsidRPr="004A09FF">
        <w:rPr>
          <w:b w:val="0"/>
          <w:color w:val="auto"/>
          <w:sz w:val="22"/>
          <w:szCs w:val="22"/>
        </w:rPr>
        <w:t>The goal of the Substance Abuse and Mental Health Services Administration’s (SAMHSA</w:t>
      </w:r>
      <w:r w:rsidR="00A570E4">
        <w:rPr>
          <w:b w:val="0"/>
          <w:color w:val="auto"/>
          <w:sz w:val="22"/>
          <w:szCs w:val="22"/>
        </w:rPr>
        <w:t>’s</w:t>
      </w:r>
      <w:r w:rsidRPr="004A09FF">
        <w:rPr>
          <w:b w:val="0"/>
          <w:color w:val="auto"/>
          <w:sz w:val="22"/>
          <w:szCs w:val="22"/>
        </w:rPr>
        <w:t>) “Talk. They Hear You.”</w:t>
      </w:r>
      <w:r w:rsidR="00B169C0" w:rsidRPr="004A09FF">
        <w:rPr>
          <w:b w:val="0"/>
          <w:color w:val="auto"/>
          <w:sz w:val="22"/>
          <w:szCs w:val="22"/>
        </w:rPr>
        <w:t xml:space="preserve"> </w:t>
      </w:r>
      <w:r w:rsidRPr="004A09FF">
        <w:rPr>
          <w:b w:val="0"/>
          <w:color w:val="auto"/>
          <w:sz w:val="22"/>
          <w:szCs w:val="22"/>
        </w:rPr>
        <w:t>Underage Drinking Prevention National Media Campaign is to reduce underage drinking among children ages 9 to 15 by engaging parents in prevention behaviors.</w:t>
      </w:r>
    </w:p>
    <w:p w14:paraId="10A50803" w14:textId="1DE0ECD5" w:rsidR="00745EEF" w:rsidRPr="004A09FF" w:rsidRDefault="002007C2" w:rsidP="00782E75">
      <w:pPr>
        <w:pStyle w:val="ThirdHeader"/>
        <w:spacing w:before="220" w:after="220"/>
        <w:rPr>
          <w:sz w:val="22"/>
          <w:szCs w:val="22"/>
        </w:rPr>
      </w:pPr>
      <w:r w:rsidRPr="004A09FF">
        <w:rPr>
          <w:sz w:val="22"/>
          <w:szCs w:val="22"/>
        </w:rPr>
        <w:t>Supports the STOP Act</w:t>
      </w:r>
    </w:p>
    <w:p w14:paraId="64B971EB" w14:textId="44BD5355" w:rsidR="00782E75" w:rsidRPr="004A09FF" w:rsidRDefault="00733F46" w:rsidP="00782E75">
      <w:pPr>
        <w:pStyle w:val="ThirdHeader"/>
        <w:spacing w:before="220" w:after="220"/>
        <w:rPr>
          <w:sz w:val="22"/>
          <w:szCs w:val="22"/>
        </w:rPr>
      </w:pPr>
      <w:r w:rsidRPr="004A09FF">
        <w:rPr>
          <w:b w:val="0"/>
          <w:color w:val="auto"/>
          <w:sz w:val="22"/>
          <w:szCs w:val="22"/>
        </w:rPr>
        <w:t>The SAMHSA Underage Drinking Prevention National Media Campaign is mandated under the Sober Truth on Preventing Underage Drinking Act</w:t>
      </w:r>
      <w:r w:rsidR="00B169C0" w:rsidRPr="004A09FF">
        <w:rPr>
          <w:b w:val="0"/>
          <w:color w:val="auto"/>
          <w:sz w:val="22"/>
          <w:szCs w:val="22"/>
        </w:rPr>
        <w:t xml:space="preserve"> (STOP Act)</w:t>
      </w:r>
      <w:r w:rsidRPr="004A09FF">
        <w:rPr>
          <w:b w:val="0"/>
          <w:color w:val="auto"/>
          <w:sz w:val="22"/>
          <w:szCs w:val="22"/>
        </w:rPr>
        <w:t>.</w:t>
      </w:r>
      <w:r w:rsidRPr="004A09FF">
        <w:rPr>
          <w:b w:val="0"/>
          <w:color w:val="auto"/>
          <w:sz w:val="22"/>
          <w:szCs w:val="22"/>
          <w:vertAlign w:val="superscript"/>
        </w:rPr>
        <w:t>4</w:t>
      </w:r>
      <w:r w:rsidRPr="004A09FF">
        <w:rPr>
          <w:b w:val="0"/>
          <w:color w:val="auto"/>
          <w:sz w:val="22"/>
          <w:szCs w:val="22"/>
        </w:rPr>
        <w:t xml:space="preserve">  The STOP Act was created to engage communities and parents to </w:t>
      </w:r>
      <w:r w:rsidR="00A570E4">
        <w:rPr>
          <w:b w:val="0"/>
          <w:color w:val="auto"/>
          <w:sz w:val="22"/>
          <w:szCs w:val="22"/>
        </w:rPr>
        <w:t>be responsible for</w:t>
      </w:r>
      <w:r w:rsidRPr="004A09FF">
        <w:rPr>
          <w:b w:val="0"/>
          <w:color w:val="auto"/>
          <w:sz w:val="22"/>
          <w:szCs w:val="22"/>
        </w:rPr>
        <w:t xml:space="preserve"> preventing underage drinking. </w:t>
      </w:r>
      <w:r w:rsidR="00B169C0" w:rsidRPr="004A09FF">
        <w:rPr>
          <w:b w:val="0"/>
          <w:color w:val="auto"/>
          <w:sz w:val="22"/>
          <w:szCs w:val="22"/>
        </w:rPr>
        <w:t xml:space="preserve"> </w:t>
      </w:r>
      <w:r w:rsidRPr="004A09FF">
        <w:rPr>
          <w:b w:val="0"/>
          <w:color w:val="auto"/>
          <w:sz w:val="22"/>
          <w:szCs w:val="22"/>
        </w:rPr>
        <w:t>The policy calls for modified enforcement of drinking laws, steps to reduce alcohol’s availability to teenagers, increased research on underage drinking, an adult-oriented media campaign, and improved monitoring of alcohol advertising to youth.</w:t>
      </w:r>
    </w:p>
    <w:p w14:paraId="651E7A6F" w14:textId="6BD5BED6" w:rsidR="00782E75" w:rsidRPr="004A09FF" w:rsidRDefault="00733F46" w:rsidP="00782E75">
      <w:pPr>
        <w:pStyle w:val="ThirdHeader"/>
        <w:spacing w:before="220" w:after="220"/>
        <w:rPr>
          <w:sz w:val="22"/>
          <w:szCs w:val="22"/>
        </w:rPr>
      </w:pPr>
      <w:r w:rsidRPr="004A09FF">
        <w:rPr>
          <w:sz w:val="22"/>
          <w:szCs w:val="22"/>
        </w:rPr>
        <w:t>Audience</w:t>
      </w:r>
    </w:p>
    <w:p w14:paraId="22D9A9B7" w14:textId="78C6455E" w:rsidR="006A5B24" w:rsidRPr="004A09FF" w:rsidRDefault="00733F46" w:rsidP="004568C4">
      <w:pPr>
        <w:spacing w:before="220" w:after="220"/>
        <w:rPr>
          <w:sz w:val="22"/>
          <w:szCs w:val="22"/>
        </w:rPr>
      </w:pPr>
      <w:r w:rsidRPr="004A09FF">
        <w:rPr>
          <w:sz w:val="22"/>
          <w:szCs w:val="22"/>
        </w:rPr>
        <w:t xml:space="preserve">The Campaign will reach parents and caregivers of children between the ages of 9 </w:t>
      </w:r>
      <w:r w:rsidR="00B169C0" w:rsidRPr="004A09FF">
        <w:rPr>
          <w:sz w:val="22"/>
          <w:szCs w:val="22"/>
        </w:rPr>
        <w:t>and</w:t>
      </w:r>
      <w:r w:rsidRPr="004A09FF">
        <w:rPr>
          <w:sz w:val="22"/>
          <w:szCs w:val="22"/>
        </w:rPr>
        <w:t xml:space="preserve"> 15 through radio, television, and print </w:t>
      </w:r>
      <w:r w:rsidR="002007C2" w:rsidRPr="004A09FF">
        <w:rPr>
          <w:sz w:val="22"/>
          <w:szCs w:val="22"/>
        </w:rPr>
        <w:t xml:space="preserve">public service announcements (PSAs); </w:t>
      </w:r>
      <w:r w:rsidRPr="004A09FF">
        <w:rPr>
          <w:sz w:val="22"/>
          <w:szCs w:val="22"/>
        </w:rPr>
        <w:t>social media;</w:t>
      </w:r>
      <w:r w:rsidR="002007C2" w:rsidRPr="004A09FF">
        <w:rPr>
          <w:sz w:val="22"/>
          <w:szCs w:val="22"/>
        </w:rPr>
        <w:t xml:space="preserve"> the Campaign website </w:t>
      </w:r>
      <w:hyperlink r:id="rId10" w:tooltip="SAMHSA Website" w:history="1">
        <w:r w:rsidR="002007C2" w:rsidRPr="004A09FF">
          <w:rPr>
            <w:rStyle w:val="Hyperlink"/>
            <w:sz w:val="22"/>
            <w:szCs w:val="22"/>
          </w:rPr>
          <w:t>www.underagedrinking.samhsa.gov</w:t>
        </w:r>
      </w:hyperlink>
      <w:r w:rsidR="002007C2" w:rsidRPr="004A09FF">
        <w:rPr>
          <w:sz w:val="22"/>
          <w:szCs w:val="22"/>
        </w:rPr>
        <w:t xml:space="preserve">; </w:t>
      </w:r>
      <w:r w:rsidRPr="004A09FF">
        <w:rPr>
          <w:sz w:val="22"/>
          <w:szCs w:val="22"/>
        </w:rPr>
        <w:t>partnership networks; and direct outreach.</w:t>
      </w:r>
    </w:p>
    <w:p w14:paraId="60A85B0C" w14:textId="77777777" w:rsidR="00733F46" w:rsidRPr="004A09FF" w:rsidRDefault="00733F46" w:rsidP="00D57A21">
      <w:pPr>
        <w:pStyle w:val="ThirdHeader"/>
        <w:spacing w:before="220" w:after="0"/>
        <w:rPr>
          <w:sz w:val="22"/>
          <w:szCs w:val="22"/>
        </w:rPr>
      </w:pPr>
      <w:r w:rsidRPr="004A09FF">
        <w:rPr>
          <w:sz w:val="22"/>
          <w:szCs w:val="22"/>
        </w:rPr>
        <w:t xml:space="preserve">Knowledge Base </w:t>
      </w:r>
    </w:p>
    <w:p w14:paraId="0426BFD4" w14:textId="41AF1786" w:rsidR="00733F46" w:rsidRPr="004A09FF" w:rsidRDefault="00733F46" w:rsidP="00733F46">
      <w:pPr>
        <w:rPr>
          <w:sz w:val="22"/>
          <w:szCs w:val="22"/>
        </w:rPr>
      </w:pPr>
      <w:r w:rsidRPr="004A09FF">
        <w:rPr>
          <w:sz w:val="22"/>
          <w:szCs w:val="22"/>
        </w:rPr>
        <w:t>The Campaign will add to the current knowledge base about underage drinking prevention. Findings from analyses, stakeholder interviews, and focus groups and interviews with parents, caregivers, and children ages 9 to 15 informed the development of the Campaign.</w:t>
      </w:r>
    </w:p>
    <w:p w14:paraId="78254B32" w14:textId="77777777" w:rsidR="002252E3" w:rsidRDefault="002252E3" w:rsidP="003970F0">
      <w:pPr>
        <w:pStyle w:val="ThirdHeader"/>
        <w:spacing w:before="360" w:after="220"/>
        <w:rPr>
          <w:sz w:val="22"/>
          <w:szCs w:val="22"/>
        </w:rPr>
      </w:pPr>
    </w:p>
    <w:p w14:paraId="13C37002" w14:textId="77777777" w:rsidR="00122CEA" w:rsidRDefault="00122CEA" w:rsidP="003970F0">
      <w:pPr>
        <w:pStyle w:val="ThirdHeader"/>
        <w:spacing w:before="360" w:after="220"/>
        <w:rPr>
          <w:sz w:val="22"/>
          <w:szCs w:val="22"/>
        </w:rPr>
      </w:pPr>
    </w:p>
    <w:p w14:paraId="7526343C" w14:textId="77777777" w:rsidR="00733F46" w:rsidRPr="004A09FF" w:rsidRDefault="00733F46" w:rsidP="003970F0">
      <w:pPr>
        <w:pStyle w:val="ThirdHeader"/>
        <w:spacing w:before="360" w:after="220"/>
        <w:rPr>
          <w:sz w:val="22"/>
          <w:szCs w:val="22"/>
        </w:rPr>
      </w:pPr>
      <w:r w:rsidRPr="004A09FF">
        <w:rPr>
          <w:sz w:val="22"/>
          <w:szCs w:val="22"/>
        </w:rPr>
        <w:t xml:space="preserve">The Facts </w:t>
      </w:r>
    </w:p>
    <w:p w14:paraId="3248FE5A" w14:textId="4DFB1B32" w:rsidR="00733F46" w:rsidRPr="004A09FF" w:rsidRDefault="00733F46" w:rsidP="00122CEA">
      <w:pPr>
        <w:rPr>
          <w:b/>
          <w:sz w:val="22"/>
          <w:szCs w:val="22"/>
        </w:rPr>
      </w:pPr>
      <w:r w:rsidRPr="004A09FF">
        <w:rPr>
          <w:sz w:val="22"/>
          <w:szCs w:val="22"/>
        </w:rPr>
        <w:t xml:space="preserve">Most </w:t>
      </w:r>
      <w:r w:rsidRPr="00A01C7E">
        <w:rPr>
          <w:sz w:val="22"/>
          <w:szCs w:val="22"/>
        </w:rPr>
        <w:t>6-year-olds</w:t>
      </w:r>
      <w:r w:rsidRPr="004A09FF">
        <w:rPr>
          <w:sz w:val="22"/>
          <w:szCs w:val="22"/>
        </w:rPr>
        <w:t xml:space="preserve"> know that alcohol is only for adults. </w:t>
      </w:r>
      <w:r w:rsidR="00B169C0" w:rsidRPr="004A09FF">
        <w:rPr>
          <w:sz w:val="22"/>
          <w:szCs w:val="22"/>
        </w:rPr>
        <w:t xml:space="preserve"> </w:t>
      </w:r>
      <w:r w:rsidRPr="004A09FF">
        <w:rPr>
          <w:sz w:val="22"/>
          <w:szCs w:val="22"/>
        </w:rPr>
        <w:t>Between the ages of 9 and 13, children start to think differently about alcohol</w:t>
      </w:r>
      <w:r w:rsidRPr="001B0B37">
        <w:rPr>
          <w:sz w:val="22"/>
          <w:szCs w:val="22"/>
        </w:rPr>
        <w:t>.</w:t>
      </w:r>
      <w:r w:rsidR="0018791C" w:rsidRPr="001B0B37">
        <w:rPr>
          <w:sz w:val="22"/>
          <w:szCs w:val="22"/>
          <w:vertAlign w:val="superscript"/>
        </w:rPr>
        <w:t>5</w:t>
      </w:r>
      <w:r w:rsidR="00B169C0" w:rsidRPr="004A09FF">
        <w:rPr>
          <w:sz w:val="22"/>
          <w:szCs w:val="22"/>
          <w:vertAlign w:val="superscript"/>
        </w:rPr>
        <w:t xml:space="preserve"> </w:t>
      </w:r>
      <w:r w:rsidRPr="004A09FF">
        <w:rPr>
          <w:sz w:val="22"/>
          <w:szCs w:val="22"/>
        </w:rPr>
        <w:t xml:space="preserve"> Many children begin to think underage drinking is OK. </w:t>
      </w:r>
      <w:r w:rsidR="00B169C0" w:rsidRPr="004A09FF">
        <w:rPr>
          <w:sz w:val="22"/>
          <w:szCs w:val="22"/>
        </w:rPr>
        <w:t xml:space="preserve"> </w:t>
      </w:r>
      <w:r w:rsidRPr="004A09FF">
        <w:rPr>
          <w:sz w:val="22"/>
          <w:szCs w:val="22"/>
        </w:rPr>
        <w:t xml:space="preserve">Some even start to experiment. </w:t>
      </w:r>
      <w:r w:rsidR="00B169C0" w:rsidRPr="004A09FF">
        <w:rPr>
          <w:sz w:val="22"/>
          <w:szCs w:val="22"/>
        </w:rPr>
        <w:t xml:space="preserve"> </w:t>
      </w:r>
      <w:r w:rsidR="0018791C" w:rsidRPr="00122CEA">
        <w:rPr>
          <w:color w:val="000000"/>
          <w:sz w:val="22"/>
          <w:szCs w:val="22"/>
        </w:rPr>
        <w:t xml:space="preserve">In fact, </w:t>
      </w:r>
      <w:r w:rsidR="0018791C" w:rsidRPr="00122CEA">
        <w:rPr>
          <w:rFonts w:ascii="AGaramond-Regular" w:eastAsia="Times New Roman" w:hAnsi="AGaramond-Regular" w:cs="AGaramond-Regular"/>
          <w:sz w:val="22"/>
          <w:szCs w:val="22"/>
        </w:rPr>
        <w:t>around 80 percent of children feel that parents should have a say in whether they drink alcohol.</w:t>
      </w:r>
      <w:r w:rsidR="0018791C" w:rsidRPr="00122CEA">
        <w:rPr>
          <w:color w:val="000000"/>
          <w:sz w:val="22"/>
          <w:szCs w:val="22"/>
          <w:vertAlign w:val="superscript"/>
        </w:rPr>
        <w:t>6, 7</w:t>
      </w:r>
      <w:r w:rsidR="00122CEA">
        <w:rPr>
          <w:color w:val="000000"/>
          <w:sz w:val="22"/>
          <w:szCs w:val="22"/>
          <w:vertAlign w:val="superscript"/>
        </w:rPr>
        <w:t xml:space="preserve">  </w:t>
      </w:r>
      <w:r w:rsidRPr="004A09FF">
        <w:rPr>
          <w:sz w:val="22"/>
          <w:szCs w:val="22"/>
        </w:rPr>
        <w:t>It is never too early to talk to your children about alcohol.</w:t>
      </w:r>
    </w:p>
    <w:p w14:paraId="34DE63DC" w14:textId="55AEE9B7" w:rsidR="00733F46" w:rsidRPr="004A09FF" w:rsidRDefault="00733F46" w:rsidP="00733F46">
      <w:pPr>
        <w:pStyle w:val="ThirdHeader"/>
        <w:spacing w:before="220" w:after="220"/>
        <w:rPr>
          <w:sz w:val="22"/>
          <w:szCs w:val="22"/>
        </w:rPr>
      </w:pPr>
      <w:r w:rsidRPr="004A09FF">
        <w:rPr>
          <w:sz w:val="22"/>
          <w:szCs w:val="22"/>
        </w:rPr>
        <w:t xml:space="preserve">Cost to Society </w:t>
      </w:r>
    </w:p>
    <w:p w14:paraId="4B2459CF" w14:textId="51EA4C2D" w:rsidR="00733F46" w:rsidRPr="004A09FF" w:rsidRDefault="004A09FF" w:rsidP="00733F46">
      <w:pPr>
        <w:rPr>
          <w:sz w:val="22"/>
          <w:szCs w:val="22"/>
        </w:rPr>
      </w:pPr>
      <w:r w:rsidRPr="004A09FF">
        <w:rPr>
          <w:sz w:val="22"/>
          <w:szCs w:val="22"/>
        </w:rPr>
        <w:t>In 2010, u</w:t>
      </w:r>
      <w:r w:rsidR="00733F46" w:rsidRPr="004A09FF">
        <w:rPr>
          <w:sz w:val="22"/>
          <w:szCs w:val="22"/>
        </w:rPr>
        <w:t xml:space="preserve">nderage drinking cost the United States $62 billion. </w:t>
      </w:r>
      <w:r w:rsidR="00B169C0" w:rsidRPr="004A09FF">
        <w:rPr>
          <w:sz w:val="22"/>
          <w:szCs w:val="22"/>
        </w:rPr>
        <w:t xml:space="preserve"> </w:t>
      </w:r>
      <w:r w:rsidR="00733F46" w:rsidRPr="004A09FF">
        <w:rPr>
          <w:sz w:val="22"/>
          <w:szCs w:val="22"/>
        </w:rPr>
        <w:t>These costs include medical care, work loss, and pain and suffering associated with the multiple problems resulting from the use of alcohol by youth.</w:t>
      </w:r>
      <w:r w:rsidR="0018791C">
        <w:rPr>
          <w:sz w:val="22"/>
          <w:szCs w:val="22"/>
          <w:vertAlign w:val="superscript"/>
        </w:rPr>
        <w:t>8</w:t>
      </w:r>
    </w:p>
    <w:p w14:paraId="57F45D9D" w14:textId="52A9AF82" w:rsidR="00733F46" w:rsidRPr="004A09FF" w:rsidRDefault="00733F46" w:rsidP="00733F46">
      <w:pPr>
        <w:pStyle w:val="ThirdHeader"/>
        <w:spacing w:before="220" w:after="220"/>
        <w:rPr>
          <w:sz w:val="22"/>
          <w:szCs w:val="22"/>
        </w:rPr>
      </w:pPr>
      <w:r w:rsidRPr="004A09FF">
        <w:rPr>
          <w:sz w:val="22"/>
          <w:szCs w:val="22"/>
        </w:rPr>
        <w:t>The Consequences of Drinking</w:t>
      </w:r>
    </w:p>
    <w:p w14:paraId="14FA0C72" w14:textId="77777777" w:rsidR="00733F46" w:rsidRPr="004A09FF" w:rsidRDefault="00733F46" w:rsidP="00733F46">
      <w:pPr>
        <w:rPr>
          <w:sz w:val="22"/>
          <w:szCs w:val="22"/>
        </w:rPr>
      </w:pPr>
      <w:r w:rsidRPr="004A09FF">
        <w:rPr>
          <w:sz w:val="22"/>
          <w:szCs w:val="22"/>
        </w:rPr>
        <w:t>Children who drink alcohol are more likely to:</w:t>
      </w:r>
    </w:p>
    <w:p w14:paraId="3F2D9DCC" w14:textId="2E32B314" w:rsidR="00D57A21" w:rsidRPr="004A09FF" w:rsidRDefault="00733F46" w:rsidP="00D57A21">
      <w:pPr>
        <w:pStyle w:val="Bullet1"/>
        <w:spacing w:before="0" w:after="0"/>
        <w:rPr>
          <w:sz w:val="22"/>
          <w:szCs w:val="22"/>
        </w:rPr>
      </w:pPr>
      <w:r w:rsidRPr="004A09FF">
        <w:rPr>
          <w:sz w:val="22"/>
          <w:szCs w:val="22"/>
        </w:rPr>
        <w:t>Use drugs</w:t>
      </w:r>
    </w:p>
    <w:p w14:paraId="75E9989E" w14:textId="58C867A0" w:rsidR="00733F46" w:rsidRPr="004A09FF" w:rsidRDefault="00733F46" w:rsidP="00D57A21">
      <w:pPr>
        <w:pStyle w:val="Bullet2"/>
        <w:rPr>
          <w:szCs w:val="22"/>
        </w:rPr>
      </w:pPr>
      <w:r w:rsidRPr="004A09FF">
        <w:rPr>
          <w:szCs w:val="22"/>
        </w:rPr>
        <w:t>Frequent binge drinkers (nearly 1 million high school students nationwide) are more likely to engage in risky behaviors, including using other drugs such as marijuana and cocaine.</w:t>
      </w:r>
      <w:r w:rsidR="0018791C">
        <w:rPr>
          <w:szCs w:val="22"/>
          <w:vertAlign w:val="superscript"/>
        </w:rPr>
        <w:t>9</w:t>
      </w:r>
    </w:p>
    <w:p w14:paraId="0A7AE6E8" w14:textId="6A0CDFE1" w:rsidR="00733F46" w:rsidRPr="004A09FF" w:rsidRDefault="00733F46" w:rsidP="00D57A21">
      <w:pPr>
        <w:pStyle w:val="Bullet1"/>
        <w:spacing w:before="0" w:after="0"/>
        <w:rPr>
          <w:sz w:val="22"/>
          <w:szCs w:val="22"/>
        </w:rPr>
      </w:pPr>
      <w:r w:rsidRPr="004A09FF">
        <w:rPr>
          <w:sz w:val="22"/>
          <w:szCs w:val="22"/>
        </w:rPr>
        <w:t>Get bad grades</w:t>
      </w:r>
    </w:p>
    <w:p w14:paraId="20F686FF" w14:textId="73AF7FB9" w:rsidR="00E5226B" w:rsidRPr="004A09FF" w:rsidRDefault="00E5226B" w:rsidP="00D57A21">
      <w:pPr>
        <w:pStyle w:val="Bullet2"/>
        <w:rPr>
          <w:szCs w:val="22"/>
        </w:rPr>
      </w:pPr>
      <w:r w:rsidRPr="004A09FF">
        <w:rPr>
          <w:szCs w:val="22"/>
        </w:rPr>
        <w:t>Children who use alcohol have higher rates of academic problems and poor school performance compared with nondrinkers.</w:t>
      </w:r>
      <w:r w:rsidR="0018791C">
        <w:rPr>
          <w:szCs w:val="22"/>
          <w:vertAlign w:val="superscript"/>
        </w:rPr>
        <w:t>10</w:t>
      </w:r>
      <w:r w:rsidR="00B169C0" w:rsidRPr="004A09FF">
        <w:rPr>
          <w:szCs w:val="22"/>
        </w:rPr>
        <w:t xml:space="preserve"> </w:t>
      </w:r>
    </w:p>
    <w:p w14:paraId="7CC2673B" w14:textId="51783D77" w:rsidR="00E5226B" w:rsidRPr="004A09FF" w:rsidRDefault="00733F46" w:rsidP="00D57A21">
      <w:pPr>
        <w:pStyle w:val="Bullet1"/>
        <w:spacing w:before="0" w:after="0"/>
        <w:rPr>
          <w:sz w:val="22"/>
          <w:szCs w:val="22"/>
        </w:rPr>
      </w:pPr>
      <w:r w:rsidRPr="004A09FF">
        <w:rPr>
          <w:sz w:val="22"/>
          <w:szCs w:val="22"/>
        </w:rPr>
        <w:t>Suffer injury or death</w:t>
      </w:r>
    </w:p>
    <w:p w14:paraId="330F1384" w14:textId="2AEB79E5" w:rsidR="00733F46" w:rsidRPr="004A09FF" w:rsidRDefault="00E5226B" w:rsidP="00D57A21">
      <w:pPr>
        <w:pStyle w:val="Bullet2"/>
        <w:rPr>
          <w:szCs w:val="22"/>
        </w:rPr>
      </w:pPr>
      <w:r w:rsidRPr="004A09FF">
        <w:rPr>
          <w:szCs w:val="22"/>
        </w:rPr>
        <w:t>In 2009, an estimated 1,844 homicides; 949,400 nonfatal violent crimes such as rape, robbery</w:t>
      </w:r>
      <w:r w:rsidR="00A01C7E">
        <w:rPr>
          <w:szCs w:val="22"/>
        </w:rPr>
        <w:t>,</w:t>
      </w:r>
      <w:r w:rsidRPr="004A09FF">
        <w:rPr>
          <w:szCs w:val="22"/>
        </w:rPr>
        <w:t xml:space="preserve"> and assault; and 1,811,300 property crimes</w:t>
      </w:r>
      <w:r w:rsidR="007622A3">
        <w:rPr>
          <w:szCs w:val="22"/>
        </w:rPr>
        <w:t>,</w:t>
      </w:r>
      <w:r w:rsidRPr="004A09FF">
        <w:rPr>
          <w:szCs w:val="22"/>
        </w:rPr>
        <w:t xml:space="preserve"> including burglary, larceny, and car theft were attributable to underage drinking.</w:t>
      </w:r>
      <w:r w:rsidR="0018791C">
        <w:rPr>
          <w:szCs w:val="22"/>
          <w:vertAlign w:val="superscript"/>
        </w:rPr>
        <w:t>11</w:t>
      </w:r>
    </w:p>
    <w:p w14:paraId="646C75C2" w14:textId="0CDAEEB4" w:rsidR="00733F46" w:rsidRPr="004A09FF" w:rsidRDefault="00733F46" w:rsidP="00D57A21">
      <w:pPr>
        <w:pStyle w:val="Bullet1"/>
        <w:spacing w:before="0" w:after="0"/>
        <w:rPr>
          <w:sz w:val="22"/>
          <w:szCs w:val="22"/>
        </w:rPr>
      </w:pPr>
      <w:r w:rsidRPr="004A09FF">
        <w:rPr>
          <w:sz w:val="22"/>
          <w:szCs w:val="22"/>
        </w:rPr>
        <w:t>Engage in risky sexual activity</w:t>
      </w:r>
    </w:p>
    <w:p w14:paraId="6DE3DB17" w14:textId="7C4B869B" w:rsidR="00E5226B" w:rsidRPr="004A09FF" w:rsidRDefault="00E5226B" w:rsidP="00D57A21">
      <w:pPr>
        <w:pStyle w:val="Bullet2"/>
        <w:rPr>
          <w:szCs w:val="22"/>
        </w:rPr>
      </w:pPr>
      <w:r w:rsidRPr="004A09FF">
        <w:rPr>
          <w:szCs w:val="22"/>
        </w:rPr>
        <w:t>Young people who use alcohol are more likely to be sexually active at earlier ages, to have sexual intercourse more often, and to have unprotected sex.</w:t>
      </w:r>
      <w:r w:rsidR="0018791C">
        <w:rPr>
          <w:szCs w:val="22"/>
          <w:vertAlign w:val="superscript"/>
        </w:rPr>
        <w:t>12,</w:t>
      </w:r>
      <w:r w:rsidR="00122CEA">
        <w:rPr>
          <w:szCs w:val="22"/>
          <w:vertAlign w:val="superscript"/>
        </w:rPr>
        <w:t xml:space="preserve"> </w:t>
      </w:r>
      <w:r w:rsidR="0018791C">
        <w:rPr>
          <w:szCs w:val="22"/>
          <w:vertAlign w:val="superscript"/>
        </w:rPr>
        <w:t>13</w:t>
      </w:r>
    </w:p>
    <w:p w14:paraId="6CA1C308" w14:textId="46041528" w:rsidR="00733F46" w:rsidRPr="004A09FF" w:rsidRDefault="00733F46" w:rsidP="00D57A21">
      <w:pPr>
        <w:pStyle w:val="Bullet1"/>
        <w:spacing w:before="0" w:after="0"/>
        <w:rPr>
          <w:sz w:val="22"/>
          <w:szCs w:val="22"/>
        </w:rPr>
      </w:pPr>
      <w:r w:rsidRPr="004A09FF">
        <w:rPr>
          <w:sz w:val="22"/>
          <w:szCs w:val="22"/>
        </w:rPr>
        <w:t>Make bad decisions</w:t>
      </w:r>
    </w:p>
    <w:p w14:paraId="05B66215" w14:textId="1DDB2C9F" w:rsidR="00E5226B" w:rsidRPr="004A09FF" w:rsidRDefault="00E5226B" w:rsidP="00D57A21">
      <w:pPr>
        <w:pStyle w:val="Bullet2"/>
        <w:rPr>
          <w:szCs w:val="22"/>
        </w:rPr>
      </w:pPr>
      <w:r w:rsidRPr="004A09FF">
        <w:rPr>
          <w:szCs w:val="22"/>
        </w:rPr>
        <w:t>Drinking lowers inhibitions and increases the chances that children will engage in risky behaviors or do something that they will regret when they are sober.</w:t>
      </w:r>
      <w:r w:rsidR="0018791C">
        <w:rPr>
          <w:szCs w:val="22"/>
          <w:vertAlign w:val="superscript"/>
        </w:rPr>
        <w:t>14,</w:t>
      </w:r>
      <w:r w:rsidR="00122CEA">
        <w:rPr>
          <w:szCs w:val="22"/>
          <w:vertAlign w:val="superscript"/>
        </w:rPr>
        <w:t xml:space="preserve"> </w:t>
      </w:r>
      <w:r w:rsidR="0018791C">
        <w:rPr>
          <w:szCs w:val="22"/>
          <w:vertAlign w:val="superscript"/>
        </w:rPr>
        <w:t>15</w:t>
      </w:r>
    </w:p>
    <w:p w14:paraId="3B43F9B4" w14:textId="25AC67FD" w:rsidR="00733F46" w:rsidRPr="004A09FF" w:rsidRDefault="00733F46" w:rsidP="00D57A21">
      <w:pPr>
        <w:pStyle w:val="Bullet1"/>
        <w:spacing w:before="0" w:after="0"/>
        <w:rPr>
          <w:sz w:val="22"/>
          <w:szCs w:val="22"/>
        </w:rPr>
      </w:pPr>
      <w:r w:rsidRPr="004A09FF">
        <w:rPr>
          <w:sz w:val="22"/>
          <w:szCs w:val="22"/>
        </w:rPr>
        <w:t>Have health problems</w:t>
      </w:r>
    </w:p>
    <w:p w14:paraId="0C774636" w14:textId="58D5F145" w:rsidR="00733F46" w:rsidRPr="004A09FF" w:rsidRDefault="00733F46" w:rsidP="00D57A21">
      <w:pPr>
        <w:pStyle w:val="Bullet2"/>
        <w:rPr>
          <w:szCs w:val="22"/>
        </w:rPr>
      </w:pPr>
      <w:r w:rsidRPr="004A09FF">
        <w:rPr>
          <w:szCs w:val="22"/>
        </w:rPr>
        <w:t>Young people who drink are more likely to have health issues such as depression and anxiety disorders.</w:t>
      </w:r>
      <w:r w:rsidR="0018791C">
        <w:rPr>
          <w:szCs w:val="22"/>
          <w:vertAlign w:val="superscript"/>
        </w:rPr>
        <w:t>16</w:t>
      </w:r>
    </w:p>
    <w:p w14:paraId="4362548F" w14:textId="4B70D41F" w:rsidR="00777F30" w:rsidRPr="004A09FF" w:rsidRDefault="00733F46" w:rsidP="00D57A21">
      <w:pPr>
        <w:pStyle w:val="ThirdHeader"/>
        <w:spacing w:before="220" w:after="0"/>
        <w:rPr>
          <w:sz w:val="22"/>
          <w:szCs w:val="22"/>
        </w:rPr>
      </w:pPr>
      <w:r w:rsidRPr="004A09FF">
        <w:rPr>
          <w:sz w:val="22"/>
          <w:szCs w:val="22"/>
        </w:rPr>
        <w:t>Partnership Development</w:t>
      </w:r>
    </w:p>
    <w:p w14:paraId="55AC7955" w14:textId="77777777" w:rsidR="001B0B37" w:rsidRDefault="00733F46" w:rsidP="00733F46">
      <w:pPr>
        <w:rPr>
          <w:sz w:val="22"/>
          <w:szCs w:val="22"/>
        </w:rPr>
      </w:pPr>
      <w:r w:rsidRPr="004A09FF">
        <w:rPr>
          <w:sz w:val="22"/>
          <w:szCs w:val="22"/>
        </w:rPr>
        <w:t xml:space="preserve">The Campaign will bring together organizations and people who are passionate about preventing underage drinking. </w:t>
      </w:r>
      <w:r w:rsidR="00B169C0" w:rsidRPr="004A09FF">
        <w:rPr>
          <w:sz w:val="22"/>
          <w:szCs w:val="22"/>
        </w:rPr>
        <w:t xml:space="preserve"> </w:t>
      </w:r>
      <w:r w:rsidRPr="004A09FF">
        <w:rPr>
          <w:sz w:val="22"/>
          <w:szCs w:val="22"/>
        </w:rPr>
        <w:t xml:space="preserve">Partners will have the opportunity to be a part of a network </w:t>
      </w:r>
      <w:r w:rsidR="00C15B9E">
        <w:rPr>
          <w:sz w:val="22"/>
          <w:szCs w:val="22"/>
        </w:rPr>
        <w:t xml:space="preserve">consisting of </w:t>
      </w:r>
      <w:r w:rsidRPr="004A09FF">
        <w:rPr>
          <w:sz w:val="22"/>
          <w:szCs w:val="22"/>
        </w:rPr>
        <w:t>national organi</w:t>
      </w:r>
      <w:r w:rsidR="000C18A0" w:rsidRPr="004A09FF">
        <w:rPr>
          <w:sz w:val="22"/>
          <w:szCs w:val="22"/>
        </w:rPr>
        <w:t>zations</w:t>
      </w:r>
      <w:r w:rsidR="00F654D6">
        <w:rPr>
          <w:sz w:val="22"/>
          <w:szCs w:val="22"/>
        </w:rPr>
        <w:t xml:space="preserve"> and</w:t>
      </w:r>
      <w:r w:rsidR="000C18A0" w:rsidRPr="004A09FF">
        <w:rPr>
          <w:sz w:val="22"/>
          <w:szCs w:val="22"/>
        </w:rPr>
        <w:t xml:space="preserve"> stakeholders and the federal g</w:t>
      </w:r>
      <w:r w:rsidRPr="004A09FF">
        <w:rPr>
          <w:sz w:val="22"/>
          <w:szCs w:val="22"/>
        </w:rPr>
        <w:t>overnment</w:t>
      </w:r>
      <w:r w:rsidR="00C15B9E">
        <w:rPr>
          <w:sz w:val="22"/>
          <w:szCs w:val="22"/>
        </w:rPr>
        <w:t xml:space="preserve">.  Together, they will share </w:t>
      </w:r>
    </w:p>
    <w:p w14:paraId="215AF94D" w14:textId="77777777" w:rsidR="001B0B37" w:rsidRDefault="001B0B37" w:rsidP="00733F46">
      <w:pPr>
        <w:rPr>
          <w:sz w:val="22"/>
          <w:szCs w:val="22"/>
        </w:rPr>
      </w:pPr>
    </w:p>
    <w:p w14:paraId="6A88C73C" w14:textId="77777777" w:rsidR="001B0B37" w:rsidRDefault="001B0B37" w:rsidP="001B0B37">
      <w:pPr>
        <w:rPr>
          <w:sz w:val="22"/>
          <w:szCs w:val="22"/>
        </w:rPr>
      </w:pPr>
    </w:p>
    <w:p w14:paraId="1C5042B5" w14:textId="77777777" w:rsidR="001B0B37" w:rsidRDefault="001B0B37" w:rsidP="001B0B37">
      <w:pPr>
        <w:rPr>
          <w:sz w:val="22"/>
          <w:szCs w:val="22"/>
        </w:rPr>
      </w:pPr>
    </w:p>
    <w:p w14:paraId="52F1263F" w14:textId="6EF5E616" w:rsidR="00733F46" w:rsidRPr="004A09FF" w:rsidRDefault="00733F46" w:rsidP="001B0B37">
      <w:pPr>
        <w:rPr>
          <w:sz w:val="22"/>
          <w:szCs w:val="22"/>
        </w:rPr>
      </w:pPr>
      <w:r w:rsidRPr="004A09FF">
        <w:rPr>
          <w:sz w:val="22"/>
          <w:szCs w:val="22"/>
        </w:rPr>
        <w:t xml:space="preserve">ideas and resources </w:t>
      </w:r>
      <w:r w:rsidR="00C15B9E">
        <w:rPr>
          <w:sz w:val="22"/>
          <w:szCs w:val="22"/>
        </w:rPr>
        <w:t xml:space="preserve">with the goal of </w:t>
      </w:r>
      <w:r w:rsidRPr="004A09FF">
        <w:rPr>
          <w:sz w:val="22"/>
          <w:szCs w:val="22"/>
        </w:rPr>
        <w:t>reach</w:t>
      </w:r>
      <w:r w:rsidR="00C15B9E">
        <w:rPr>
          <w:sz w:val="22"/>
          <w:szCs w:val="22"/>
        </w:rPr>
        <w:t xml:space="preserve">ing </w:t>
      </w:r>
      <w:r w:rsidRPr="004A09FF">
        <w:rPr>
          <w:sz w:val="22"/>
          <w:szCs w:val="22"/>
        </w:rPr>
        <w:t>audiences at the community, state, and national levels.</w:t>
      </w:r>
      <w:r w:rsidR="008975F8">
        <w:rPr>
          <w:sz w:val="22"/>
          <w:szCs w:val="22"/>
        </w:rPr>
        <w:t xml:space="preserve"> </w:t>
      </w:r>
      <w:r w:rsidRPr="004A09FF">
        <w:rPr>
          <w:sz w:val="22"/>
          <w:szCs w:val="22"/>
        </w:rPr>
        <w:t xml:space="preserve"> Partners will be recognized as national leaders in underage drinking prevention.</w:t>
      </w:r>
    </w:p>
    <w:p w14:paraId="0ABD8051" w14:textId="77777777" w:rsidR="003970F0" w:rsidRDefault="003970F0" w:rsidP="003970F0">
      <w:pPr>
        <w:pStyle w:val="ThirdHeader"/>
        <w:spacing w:before="0" w:after="220"/>
        <w:rPr>
          <w:sz w:val="22"/>
          <w:szCs w:val="22"/>
        </w:rPr>
      </w:pPr>
      <w:r>
        <w:rPr>
          <w:sz w:val="22"/>
          <w:szCs w:val="22"/>
        </w:rPr>
        <w:br/>
      </w:r>
    </w:p>
    <w:p w14:paraId="3D043522" w14:textId="22F05974" w:rsidR="0064652D" w:rsidRPr="004A09FF" w:rsidRDefault="00742484" w:rsidP="003970F0">
      <w:pPr>
        <w:pStyle w:val="ThirdHeader"/>
        <w:spacing w:before="0" w:after="220"/>
        <w:rPr>
          <w:sz w:val="22"/>
          <w:szCs w:val="22"/>
        </w:rPr>
      </w:pPr>
      <w:r w:rsidRPr="004A09FF">
        <w:rPr>
          <w:sz w:val="22"/>
          <w:szCs w:val="22"/>
        </w:rPr>
        <w:t>References</w:t>
      </w:r>
      <w:r w:rsidR="0064652D" w:rsidRPr="004A09FF">
        <w:rPr>
          <w:sz w:val="22"/>
          <w:szCs w:val="22"/>
        </w:rPr>
        <w:t xml:space="preserve"> </w:t>
      </w:r>
    </w:p>
    <w:p w14:paraId="243E125C" w14:textId="4B4D3631" w:rsidR="006B5A63" w:rsidRPr="006B5A63" w:rsidRDefault="006B5A63" w:rsidP="006B5A63">
      <w:pPr>
        <w:rPr>
          <w:sz w:val="16"/>
          <w:szCs w:val="16"/>
        </w:rPr>
      </w:pPr>
      <w:r w:rsidRPr="006B5A63">
        <w:rPr>
          <w:sz w:val="16"/>
          <w:szCs w:val="16"/>
        </w:rPr>
        <w:t>1</w:t>
      </w:r>
      <w:r w:rsidR="0063548A">
        <w:rPr>
          <w:sz w:val="16"/>
          <w:szCs w:val="16"/>
        </w:rPr>
        <w:t>, 9</w:t>
      </w:r>
      <w:r w:rsidRPr="006B5A63">
        <w:rPr>
          <w:sz w:val="16"/>
          <w:szCs w:val="16"/>
        </w:rPr>
        <w:t xml:space="preserve">    </w:t>
      </w:r>
      <w:r w:rsidR="00F654D6" w:rsidRPr="00F82426">
        <w:rPr>
          <w:rFonts w:eastAsia="Times New Roman"/>
          <w:sz w:val="16"/>
          <w:szCs w:val="16"/>
        </w:rPr>
        <w:t xml:space="preserve">Substance Abuse and Mental Health Services Administration.  (2011).  </w:t>
      </w:r>
      <w:r w:rsidR="00F654D6" w:rsidRPr="00F82426">
        <w:rPr>
          <w:rFonts w:eastAsia="Times New Roman"/>
          <w:i/>
          <w:sz w:val="16"/>
          <w:szCs w:val="16"/>
        </w:rPr>
        <w:t>Results from the 2010 National Survey on Drug Use and Health: Summary of National Findings</w:t>
      </w:r>
      <w:r w:rsidR="00F654D6" w:rsidRPr="00F82426">
        <w:rPr>
          <w:rFonts w:eastAsia="Times New Roman"/>
          <w:sz w:val="16"/>
          <w:szCs w:val="16"/>
        </w:rPr>
        <w:t>.  NSDUH Series H-41, HHS Publication No. (SMA) 11-4658.  Rockville, MD: Substance Abuse and Mental Health Services Administration.</w:t>
      </w:r>
    </w:p>
    <w:p w14:paraId="7C5307A5" w14:textId="02E509A8" w:rsidR="006B5A63" w:rsidRPr="006B5A63" w:rsidRDefault="006B5A63" w:rsidP="006B5A63">
      <w:pPr>
        <w:rPr>
          <w:sz w:val="16"/>
          <w:szCs w:val="16"/>
        </w:rPr>
      </w:pPr>
      <w:r w:rsidRPr="006B5A63">
        <w:rPr>
          <w:sz w:val="16"/>
          <w:szCs w:val="16"/>
        </w:rPr>
        <w:t>2, 3</w:t>
      </w:r>
      <w:r w:rsidR="00FB6C18">
        <w:rPr>
          <w:sz w:val="16"/>
          <w:szCs w:val="16"/>
        </w:rPr>
        <w:t xml:space="preserve">, </w:t>
      </w:r>
      <w:r w:rsidR="0018791C">
        <w:rPr>
          <w:sz w:val="16"/>
          <w:szCs w:val="16"/>
        </w:rPr>
        <w:t>5</w:t>
      </w:r>
      <w:r w:rsidRPr="006B5A63">
        <w:rPr>
          <w:sz w:val="16"/>
          <w:szCs w:val="16"/>
        </w:rPr>
        <w:t xml:space="preserve">    </w:t>
      </w:r>
      <w:r w:rsidR="00F654D6" w:rsidRPr="00F82426">
        <w:rPr>
          <w:rFonts w:eastAsia="Times New Roman"/>
          <w:sz w:val="16"/>
          <w:szCs w:val="16"/>
        </w:rPr>
        <w:t xml:space="preserve">U.S. Department of Health and Human Services.  </w:t>
      </w:r>
      <w:r w:rsidR="00F654D6" w:rsidRPr="00F82426">
        <w:rPr>
          <w:rFonts w:eastAsia="Times New Roman"/>
          <w:i/>
          <w:sz w:val="16"/>
          <w:szCs w:val="16"/>
        </w:rPr>
        <w:t>The Surgeon General’s Call to Action to Prevent and Reduce Underage Drinking: A Guide to Action for Educators</w:t>
      </w:r>
      <w:r w:rsidR="00F654D6" w:rsidRPr="00F82426">
        <w:rPr>
          <w:rFonts w:eastAsia="Times New Roman"/>
          <w:sz w:val="16"/>
          <w:szCs w:val="16"/>
        </w:rPr>
        <w:t>.  U.S. Department of Health and Human Services, Office of the Surgeon General, 2007.</w:t>
      </w:r>
    </w:p>
    <w:p w14:paraId="185935F0" w14:textId="251F0841" w:rsidR="006B5A63" w:rsidRPr="006B5A63" w:rsidRDefault="006B5A63" w:rsidP="006B5A63">
      <w:pPr>
        <w:rPr>
          <w:sz w:val="16"/>
          <w:szCs w:val="16"/>
        </w:rPr>
      </w:pPr>
      <w:r w:rsidRPr="006B5A63">
        <w:rPr>
          <w:sz w:val="16"/>
          <w:szCs w:val="16"/>
        </w:rPr>
        <w:t xml:space="preserve">4    GovTrack.us (database of federal legislation). </w:t>
      </w:r>
      <w:r w:rsidR="00B169C0">
        <w:rPr>
          <w:sz w:val="16"/>
          <w:szCs w:val="16"/>
        </w:rPr>
        <w:t xml:space="preserve"> </w:t>
      </w:r>
      <w:r w:rsidRPr="006B5A63">
        <w:rPr>
          <w:i/>
          <w:iCs/>
          <w:sz w:val="16"/>
          <w:szCs w:val="16"/>
        </w:rPr>
        <w:t>S. 882: STOP Act. 112</w:t>
      </w:r>
      <w:r w:rsidRPr="000C18A0">
        <w:rPr>
          <w:i/>
          <w:sz w:val="16"/>
          <w:szCs w:val="16"/>
        </w:rPr>
        <w:t>th</w:t>
      </w:r>
      <w:r w:rsidRPr="006B5A63">
        <w:rPr>
          <w:sz w:val="16"/>
          <w:szCs w:val="16"/>
        </w:rPr>
        <w:t xml:space="preserve"> </w:t>
      </w:r>
      <w:r w:rsidRPr="006B5A63">
        <w:rPr>
          <w:i/>
          <w:iCs/>
          <w:sz w:val="16"/>
          <w:szCs w:val="16"/>
        </w:rPr>
        <w:t>Congress</w:t>
      </w:r>
      <w:r w:rsidRPr="006B5A63">
        <w:rPr>
          <w:sz w:val="16"/>
          <w:szCs w:val="16"/>
        </w:rPr>
        <w:t xml:space="preserve">. </w:t>
      </w:r>
      <w:r w:rsidR="00B169C0">
        <w:rPr>
          <w:sz w:val="16"/>
          <w:szCs w:val="16"/>
        </w:rPr>
        <w:t xml:space="preserve"> </w:t>
      </w:r>
      <w:r w:rsidRPr="006B5A63">
        <w:rPr>
          <w:sz w:val="16"/>
          <w:szCs w:val="16"/>
        </w:rPr>
        <w:t>(2011).</w:t>
      </w:r>
      <w:r w:rsidR="00B169C0">
        <w:rPr>
          <w:sz w:val="16"/>
          <w:szCs w:val="16"/>
        </w:rPr>
        <w:t xml:space="preserve"> </w:t>
      </w:r>
      <w:r w:rsidRPr="006B5A63">
        <w:rPr>
          <w:sz w:val="16"/>
          <w:szCs w:val="16"/>
        </w:rPr>
        <w:t xml:space="preserve"> From </w:t>
      </w:r>
      <w:hyperlink r:id="rId11" w:tooltip="GovTrack Website" w:history="1">
        <w:r w:rsidR="00B169C0" w:rsidRPr="00FF27AD">
          <w:rPr>
            <w:rStyle w:val="Hyperlink"/>
            <w:sz w:val="16"/>
            <w:szCs w:val="16"/>
          </w:rPr>
          <w:t>http://www.govtrack.us/congress/bills/112/s882</w:t>
        </w:r>
      </w:hyperlink>
      <w:r w:rsidR="00B169C0" w:rsidRPr="00211B39">
        <w:rPr>
          <w:sz w:val="16"/>
          <w:szCs w:val="16"/>
        </w:rPr>
        <w:t xml:space="preserve"> (</w:t>
      </w:r>
      <w:r w:rsidRPr="006B5A63">
        <w:rPr>
          <w:sz w:val="16"/>
          <w:szCs w:val="16"/>
        </w:rPr>
        <w:t>accessed May 3, 2012).</w:t>
      </w:r>
    </w:p>
    <w:p w14:paraId="3F461262" w14:textId="22492FE8" w:rsidR="0018791C" w:rsidRDefault="0018791C" w:rsidP="006B5A63">
      <w:pPr>
        <w:rPr>
          <w:rFonts w:eastAsia="Times New Roman"/>
          <w:sz w:val="16"/>
          <w:szCs w:val="16"/>
        </w:rPr>
      </w:pPr>
      <w:r w:rsidRPr="0018791C">
        <w:rPr>
          <w:sz w:val="16"/>
          <w:szCs w:val="16"/>
        </w:rPr>
        <w:t>6</w:t>
      </w:r>
      <w:r w:rsidR="006B5A63" w:rsidRPr="0018791C">
        <w:rPr>
          <w:sz w:val="16"/>
          <w:szCs w:val="16"/>
        </w:rPr>
        <w:t xml:space="preserve">    </w:t>
      </w:r>
      <w:r w:rsidRPr="0018791C">
        <w:rPr>
          <w:rFonts w:eastAsia="Times New Roman"/>
          <w:sz w:val="16"/>
          <w:szCs w:val="16"/>
        </w:rPr>
        <w:t xml:space="preserve">Jackson, C. </w:t>
      </w:r>
      <w:r w:rsidR="008178A8">
        <w:rPr>
          <w:rFonts w:eastAsia="Times New Roman"/>
          <w:sz w:val="16"/>
          <w:szCs w:val="16"/>
        </w:rPr>
        <w:t xml:space="preserve"> (</w:t>
      </w:r>
      <w:r w:rsidR="008178A8" w:rsidRPr="0018791C">
        <w:rPr>
          <w:rFonts w:eastAsia="Times New Roman"/>
          <w:sz w:val="16"/>
          <w:szCs w:val="16"/>
        </w:rPr>
        <w:t>2002</w:t>
      </w:r>
      <w:r w:rsidR="008178A8">
        <w:rPr>
          <w:rFonts w:eastAsia="Times New Roman"/>
          <w:sz w:val="16"/>
          <w:szCs w:val="16"/>
        </w:rPr>
        <w:t xml:space="preserve">).  </w:t>
      </w:r>
      <w:r w:rsidRPr="0018791C">
        <w:rPr>
          <w:rFonts w:eastAsia="Times New Roman"/>
          <w:sz w:val="16"/>
          <w:szCs w:val="16"/>
        </w:rPr>
        <w:t xml:space="preserve">Perceived legitimacy of parental authority and tobacco and alcohol use during early adolescence. </w:t>
      </w:r>
      <w:r w:rsidRPr="0018791C">
        <w:rPr>
          <w:rFonts w:eastAsia="Times New Roman"/>
          <w:i/>
          <w:iCs/>
          <w:sz w:val="16"/>
          <w:szCs w:val="16"/>
        </w:rPr>
        <w:t xml:space="preserve">Journal of Adolescent Health </w:t>
      </w:r>
      <w:r w:rsidR="008178A8">
        <w:rPr>
          <w:rFonts w:eastAsia="Times New Roman"/>
          <w:sz w:val="16"/>
          <w:szCs w:val="16"/>
        </w:rPr>
        <w:t>31(5)</w:t>
      </w:r>
      <w:r w:rsidR="008E3966">
        <w:rPr>
          <w:rFonts w:eastAsia="Times New Roman"/>
          <w:sz w:val="16"/>
          <w:szCs w:val="16"/>
        </w:rPr>
        <w:t xml:space="preserve">, </w:t>
      </w:r>
      <w:r w:rsidR="008178A8">
        <w:rPr>
          <w:rFonts w:eastAsia="Times New Roman"/>
          <w:sz w:val="16"/>
          <w:szCs w:val="16"/>
        </w:rPr>
        <w:t>425–432</w:t>
      </w:r>
      <w:r w:rsidRPr="0018791C">
        <w:rPr>
          <w:rFonts w:eastAsia="Times New Roman"/>
          <w:sz w:val="16"/>
          <w:szCs w:val="16"/>
        </w:rPr>
        <w:t>.</w:t>
      </w:r>
    </w:p>
    <w:p w14:paraId="4B2A9357" w14:textId="7673A440" w:rsidR="0018791C" w:rsidRDefault="0018791C" w:rsidP="006B5A63">
      <w:pPr>
        <w:rPr>
          <w:sz w:val="16"/>
          <w:szCs w:val="16"/>
        </w:rPr>
      </w:pPr>
      <w:r>
        <w:rPr>
          <w:sz w:val="16"/>
          <w:szCs w:val="16"/>
        </w:rPr>
        <w:t xml:space="preserve">7    </w:t>
      </w:r>
      <w:r w:rsidRPr="00F82426">
        <w:rPr>
          <w:rFonts w:eastAsia="Times New Roman"/>
          <w:sz w:val="16"/>
          <w:szCs w:val="16"/>
        </w:rPr>
        <w:t xml:space="preserve">Nash, S.G., McQueen, A., and Bray, J.H.  (2005).  Pathways to adolescent alcohol use: Family environment, peer influence, and parental expectations.  </w:t>
      </w:r>
      <w:r w:rsidRPr="00F82426">
        <w:rPr>
          <w:rFonts w:eastAsia="Times New Roman"/>
          <w:i/>
          <w:sz w:val="16"/>
          <w:szCs w:val="16"/>
        </w:rPr>
        <w:t>Journal of Adolescent Health</w:t>
      </w:r>
      <w:r w:rsidRPr="00F82426">
        <w:rPr>
          <w:rFonts w:eastAsia="Times New Roman"/>
          <w:sz w:val="16"/>
          <w:szCs w:val="16"/>
        </w:rPr>
        <w:t xml:space="preserve">, </w:t>
      </w:r>
      <w:r w:rsidRPr="00F82426">
        <w:rPr>
          <w:rFonts w:eastAsia="Times New Roman"/>
          <w:i/>
          <w:sz w:val="16"/>
          <w:szCs w:val="16"/>
        </w:rPr>
        <w:t>37</w:t>
      </w:r>
      <w:r w:rsidRPr="00F82426">
        <w:rPr>
          <w:rFonts w:eastAsia="Times New Roman"/>
          <w:sz w:val="16"/>
          <w:szCs w:val="16"/>
        </w:rPr>
        <w:t>(1), 19–28.</w:t>
      </w:r>
    </w:p>
    <w:p w14:paraId="29EBE42A" w14:textId="6EAF0E7B" w:rsidR="006B5A63" w:rsidRPr="0018791C" w:rsidRDefault="0018791C" w:rsidP="006B5A63">
      <w:pPr>
        <w:rPr>
          <w:sz w:val="16"/>
          <w:szCs w:val="16"/>
        </w:rPr>
      </w:pPr>
      <w:r w:rsidRPr="0018791C">
        <w:rPr>
          <w:sz w:val="16"/>
          <w:szCs w:val="16"/>
        </w:rPr>
        <w:t>8, 11</w:t>
      </w:r>
      <w:r w:rsidR="006B5A63" w:rsidRPr="0018791C">
        <w:rPr>
          <w:sz w:val="16"/>
          <w:szCs w:val="16"/>
        </w:rPr>
        <w:t xml:space="preserve"> </w:t>
      </w:r>
      <w:r w:rsidR="00D57A21" w:rsidRPr="0018791C">
        <w:rPr>
          <w:sz w:val="16"/>
          <w:szCs w:val="16"/>
        </w:rPr>
        <w:t xml:space="preserve">   </w:t>
      </w:r>
      <w:r w:rsidR="006B5A63" w:rsidRPr="0018791C">
        <w:rPr>
          <w:sz w:val="16"/>
          <w:szCs w:val="16"/>
        </w:rPr>
        <w:t>Underage Drinking Enforcement Training Center. (2011</w:t>
      </w:r>
      <w:r w:rsidR="00F654D6" w:rsidRPr="0018791C">
        <w:rPr>
          <w:sz w:val="16"/>
          <w:szCs w:val="16"/>
        </w:rPr>
        <w:t>, September</w:t>
      </w:r>
      <w:r w:rsidR="006B5A63" w:rsidRPr="0018791C">
        <w:rPr>
          <w:sz w:val="16"/>
          <w:szCs w:val="16"/>
        </w:rPr>
        <w:t>).</w:t>
      </w:r>
      <w:r w:rsidR="008975F8" w:rsidRPr="0018791C">
        <w:rPr>
          <w:sz w:val="16"/>
          <w:szCs w:val="16"/>
        </w:rPr>
        <w:t xml:space="preserve"> </w:t>
      </w:r>
      <w:r w:rsidR="006B5A63" w:rsidRPr="0018791C">
        <w:rPr>
          <w:sz w:val="16"/>
          <w:szCs w:val="16"/>
        </w:rPr>
        <w:t xml:space="preserve"> </w:t>
      </w:r>
      <w:r w:rsidR="006B5A63" w:rsidRPr="0018791C">
        <w:rPr>
          <w:i/>
          <w:iCs/>
          <w:sz w:val="16"/>
          <w:szCs w:val="16"/>
        </w:rPr>
        <w:t>Underage drinking costs</w:t>
      </w:r>
      <w:r w:rsidR="006B5A63" w:rsidRPr="0018791C">
        <w:rPr>
          <w:sz w:val="16"/>
          <w:szCs w:val="16"/>
        </w:rPr>
        <w:t>.</w:t>
      </w:r>
      <w:r w:rsidR="008975F8" w:rsidRPr="0018791C">
        <w:rPr>
          <w:sz w:val="16"/>
          <w:szCs w:val="16"/>
        </w:rPr>
        <w:t xml:space="preserve"> </w:t>
      </w:r>
      <w:r w:rsidR="006B5A63" w:rsidRPr="0018791C">
        <w:rPr>
          <w:sz w:val="16"/>
          <w:szCs w:val="16"/>
        </w:rPr>
        <w:t xml:space="preserve"> From </w:t>
      </w:r>
      <w:hyperlink r:id="rId12" w:tooltip="Underage Drinking Website" w:history="1">
        <w:r w:rsidR="000C18A0" w:rsidRPr="0018791C">
          <w:rPr>
            <w:rStyle w:val="Hyperlink"/>
            <w:sz w:val="16"/>
            <w:szCs w:val="16"/>
          </w:rPr>
          <w:t>http://www.udetc.org/UnderageDrinkingCosts.asp</w:t>
        </w:r>
      </w:hyperlink>
      <w:r w:rsidR="006B5A63" w:rsidRPr="0018791C">
        <w:rPr>
          <w:sz w:val="16"/>
          <w:szCs w:val="16"/>
        </w:rPr>
        <w:t xml:space="preserve"> (accessed May 10, 2012).</w:t>
      </w:r>
    </w:p>
    <w:p w14:paraId="2B867F4E" w14:textId="4909C8BA" w:rsidR="005A15A9" w:rsidRPr="0018791C" w:rsidRDefault="0018791C" w:rsidP="004B0B27">
      <w:pPr>
        <w:spacing w:before="160" w:after="160"/>
        <w:rPr>
          <w:sz w:val="16"/>
          <w:szCs w:val="16"/>
        </w:rPr>
      </w:pPr>
      <w:r w:rsidRPr="0018791C">
        <w:rPr>
          <w:sz w:val="16"/>
          <w:szCs w:val="16"/>
        </w:rPr>
        <w:t>10</w:t>
      </w:r>
      <w:r w:rsidR="006B5A63" w:rsidRPr="0018791C">
        <w:rPr>
          <w:sz w:val="16"/>
          <w:szCs w:val="16"/>
        </w:rPr>
        <w:t>,</w:t>
      </w:r>
      <w:r w:rsidR="00ED0B57" w:rsidRPr="0018791C">
        <w:rPr>
          <w:sz w:val="16"/>
          <w:szCs w:val="16"/>
        </w:rPr>
        <w:t xml:space="preserve"> </w:t>
      </w:r>
      <w:r w:rsidRPr="0018791C">
        <w:rPr>
          <w:sz w:val="16"/>
          <w:szCs w:val="16"/>
        </w:rPr>
        <w:t>16</w:t>
      </w:r>
      <w:r w:rsidR="006B5A63" w:rsidRPr="0018791C">
        <w:rPr>
          <w:sz w:val="16"/>
          <w:szCs w:val="16"/>
        </w:rPr>
        <w:t xml:space="preserve">    </w:t>
      </w:r>
      <w:r w:rsidR="00F654D6" w:rsidRPr="0018791C">
        <w:rPr>
          <w:rFonts w:eastAsia="Times New Roman"/>
          <w:sz w:val="16"/>
          <w:szCs w:val="16"/>
        </w:rPr>
        <w:t xml:space="preserve">Bonnie, R.J., and O’Connell, M.E.  (Ed.).  (2004).  </w:t>
      </w:r>
      <w:r w:rsidR="00F654D6" w:rsidRPr="0018791C">
        <w:rPr>
          <w:rFonts w:eastAsia="Times New Roman"/>
          <w:i/>
          <w:sz w:val="16"/>
          <w:szCs w:val="16"/>
        </w:rPr>
        <w:t>Reducing underage drinking: A collective responsibility</w:t>
      </w:r>
      <w:r w:rsidR="00F654D6" w:rsidRPr="0018791C">
        <w:rPr>
          <w:rFonts w:eastAsia="Times New Roman"/>
          <w:sz w:val="16"/>
          <w:szCs w:val="16"/>
        </w:rPr>
        <w:t xml:space="preserve">.  National Research Council and Institute of Medicine.  Washington, DC: The National Academies Press.  From </w:t>
      </w:r>
      <w:hyperlink r:id="rId13" w:tooltip="Institute of Medicine Website" w:history="1">
        <w:r w:rsidR="00F654D6" w:rsidRPr="0018791C">
          <w:rPr>
            <w:rStyle w:val="Hyperlink"/>
            <w:rFonts w:eastAsia="Times New Roman"/>
            <w:sz w:val="16"/>
            <w:szCs w:val="16"/>
          </w:rPr>
          <w:t>http://www.iom.edu/Reports/2003/Reducing-Underage-Drinking-A-Collective-Responsibility.aspx</w:t>
        </w:r>
      </w:hyperlink>
      <w:r w:rsidR="00F654D6" w:rsidRPr="0018791C">
        <w:rPr>
          <w:rFonts w:eastAsia="Times New Roman"/>
          <w:color w:val="363435"/>
          <w:sz w:val="16"/>
          <w:szCs w:val="16"/>
        </w:rPr>
        <w:t xml:space="preserve"> </w:t>
      </w:r>
      <w:r w:rsidR="00F654D6" w:rsidRPr="0018791C">
        <w:rPr>
          <w:rFonts w:eastAsia="Times New Roman"/>
          <w:sz w:val="16"/>
          <w:szCs w:val="16"/>
        </w:rPr>
        <w:t>(accessed May 3, 2012).</w:t>
      </w:r>
    </w:p>
    <w:p w14:paraId="637D7981" w14:textId="27F6E4FC" w:rsidR="006B5A63" w:rsidRPr="0018791C" w:rsidRDefault="0018791C" w:rsidP="006B5A63">
      <w:pPr>
        <w:rPr>
          <w:sz w:val="16"/>
          <w:szCs w:val="16"/>
        </w:rPr>
      </w:pPr>
      <w:r w:rsidRPr="0018791C">
        <w:rPr>
          <w:sz w:val="16"/>
          <w:szCs w:val="16"/>
        </w:rPr>
        <w:t>12</w:t>
      </w:r>
      <w:r w:rsidR="00B169C0" w:rsidRPr="0018791C">
        <w:rPr>
          <w:sz w:val="16"/>
          <w:szCs w:val="16"/>
        </w:rPr>
        <w:t xml:space="preserve">    </w:t>
      </w:r>
      <w:r w:rsidR="00F654D6" w:rsidRPr="0018791C">
        <w:rPr>
          <w:rFonts w:eastAsia="Times New Roman"/>
          <w:sz w:val="16"/>
          <w:szCs w:val="16"/>
        </w:rPr>
        <w:t xml:space="preserve">Fergusson, D.M., and </w:t>
      </w:r>
      <w:proofErr w:type="spellStart"/>
      <w:r w:rsidR="00F654D6" w:rsidRPr="0018791C">
        <w:rPr>
          <w:rFonts w:eastAsia="Times New Roman"/>
          <w:sz w:val="16"/>
          <w:szCs w:val="16"/>
        </w:rPr>
        <w:t>Lynskey</w:t>
      </w:r>
      <w:proofErr w:type="spellEnd"/>
      <w:r w:rsidR="00F654D6" w:rsidRPr="0018791C">
        <w:rPr>
          <w:rFonts w:eastAsia="Times New Roman"/>
          <w:sz w:val="16"/>
          <w:szCs w:val="16"/>
        </w:rPr>
        <w:t xml:space="preserve">, M.T.  (1996).  Alcohol misuse and adolescent sexual behaviors and risk taking.  </w:t>
      </w:r>
      <w:r w:rsidR="00F654D6" w:rsidRPr="0018791C">
        <w:rPr>
          <w:rFonts w:eastAsia="Times New Roman"/>
          <w:i/>
          <w:sz w:val="16"/>
          <w:szCs w:val="16"/>
        </w:rPr>
        <w:t>Pediatrics</w:t>
      </w:r>
      <w:r w:rsidR="00F654D6" w:rsidRPr="0018791C">
        <w:rPr>
          <w:rFonts w:eastAsia="Times New Roman"/>
          <w:sz w:val="16"/>
          <w:szCs w:val="16"/>
        </w:rPr>
        <w:t xml:space="preserve">, </w:t>
      </w:r>
      <w:r w:rsidR="00F654D6" w:rsidRPr="0018791C">
        <w:rPr>
          <w:rFonts w:eastAsia="Times New Roman"/>
          <w:i/>
          <w:sz w:val="16"/>
          <w:szCs w:val="16"/>
        </w:rPr>
        <w:t>98</w:t>
      </w:r>
      <w:r w:rsidR="00F654D6" w:rsidRPr="0018791C">
        <w:rPr>
          <w:rFonts w:eastAsia="Times New Roman"/>
          <w:sz w:val="16"/>
          <w:szCs w:val="16"/>
        </w:rPr>
        <w:t>(1), 91–96.</w:t>
      </w:r>
    </w:p>
    <w:p w14:paraId="5FAB250D" w14:textId="3FD1F8FA" w:rsidR="006B5A63" w:rsidRPr="0018791C" w:rsidRDefault="0018791C" w:rsidP="006B5A63">
      <w:pPr>
        <w:rPr>
          <w:sz w:val="16"/>
          <w:szCs w:val="16"/>
        </w:rPr>
      </w:pPr>
      <w:r w:rsidRPr="0018791C">
        <w:rPr>
          <w:sz w:val="16"/>
          <w:szCs w:val="16"/>
        </w:rPr>
        <w:t>13</w:t>
      </w:r>
      <w:r w:rsidR="00B169C0" w:rsidRPr="0018791C">
        <w:rPr>
          <w:sz w:val="16"/>
          <w:szCs w:val="16"/>
        </w:rPr>
        <w:t xml:space="preserve">    </w:t>
      </w:r>
      <w:proofErr w:type="spellStart"/>
      <w:r w:rsidR="00F654D6" w:rsidRPr="0018791C">
        <w:rPr>
          <w:rFonts w:eastAsia="Times New Roman"/>
          <w:sz w:val="16"/>
          <w:szCs w:val="16"/>
        </w:rPr>
        <w:t>Tapert</w:t>
      </w:r>
      <w:proofErr w:type="spellEnd"/>
      <w:r w:rsidR="00F654D6" w:rsidRPr="0018791C">
        <w:rPr>
          <w:rFonts w:eastAsia="Times New Roman"/>
          <w:sz w:val="16"/>
          <w:szCs w:val="16"/>
        </w:rPr>
        <w:t xml:space="preserve">, S.F., Aarons, G.A., </w:t>
      </w:r>
      <w:proofErr w:type="spellStart"/>
      <w:r w:rsidR="00F654D6" w:rsidRPr="0018791C">
        <w:rPr>
          <w:rFonts w:eastAsia="Times New Roman"/>
          <w:sz w:val="16"/>
          <w:szCs w:val="16"/>
        </w:rPr>
        <w:t>Sedlar</w:t>
      </w:r>
      <w:proofErr w:type="spellEnd"/>
      <w:r w:rsidR="00F654D6" w:rsidRPr="0018791C">
        <w:rPr>
          <w:rFonts w:eastAsia="Times New Roman"/>
          <w:sz w:val="16"/>
          <w:szCs w:val="16"/>
        </w:rPr>
        <w:t xml:space="preserve">, G.R., and Brown, S.A.  (2001).  Adolescent substance use and sexual risk-taking behavior.  </w:t>
      </w:r>
      <w:r w:rsidR="00F654D6" w:rsidRPr="0018791C">
        <w:rPr>
          <w:rFonts w:eastAsia="Times New Roman"/>
          <w:i/>
          <w:sz w:val="16"/>
          <w:szCs w:val="16"/>
        </w:rPr>
        <w:t>Journal of Adolescent Health</w:t>
      </w:r>
      <w:r w:rsidR="00F654D6" w:rsidRPr="0018791C">
        <w:rPr>
          <w:rFonts w:eastAsia="Times New Roman"/>
          <w:sz w:val="16"/>
          <w:szCs w:val="16"/>
        </w:rPr>
        <w:t xml:space="preserve">, </w:t>
      </w:r>
      <w:r w:rsidR="00F654D6" w:rsidRPr="0018791C">
        <w:rPr>
          <w:rFonts w:eastAsia="Times New Roman"/>
          <w:i/>
          <w:sz w:val="16"/>
          <w:szCs w:val="16"/>
        </w:rPr>
        <w:t>28</w:t>
      </w:r>
      <w:r w:rsidR="00F654D6" w:rsidRPr="0018791C">
        <w:rPr>
          <w:rFonts w:eastAsia="Times New Roman"/>
          <w:sz w:val="16"/>
          <w:szCs w:val="16"/>
        </w:rPr>
        <w:t>(3), 181–189.</w:t>
      </w:r>
    </w:p>
    <w:p w14:paraId="43B93FBC" w14:textId="1D40C18F" w:rsidR="006B5A63" w:rsidRPr="0018791C" w:rsidRDefault="0018791C" w:rsidP="006B5A63">
      <w:pPr>
        <w:rPr>
          <w:sz w:val="16"/>
          <w:szCs w:val="16"/>
        </w:rPr>
      </w:pPr>
      <w:r w:rsidRPr="0018791C">
        <w:rPr>
          <w:sz w:val="16"/>
          <w:szCs w:val="16"/>
        </w:rPr>
        <w:t>14</w:t>
      </w:r>
      <w:r w:rsidR="00B169C0" w:rsidRPr="0018791C">
        <w:rPr>
          <w:sz w:val="16"/>
          <w:szCs w:val="16"/>
        </w:rPr>
        <w:t xml:space="preserve">    </w:t>
      </w:r>
      <w:r w:rsidR="006B5A63" w:rsidRPr="0018791C">
        <w:rPr>
          <w:sz w:val="16"/>
          <w:szCs w:val="16"/>
        </w:rPr>
        <w:t>Goldberg, J.H., Halpern-</w:t>
      </w:r>
      <w:proofErr w:type="spellStart"/>
      <w:r w:rsidR="006B5A63" w:rsidRPr="0018791C">
        <w:rPr>
          <w:sz w:val="16"/>
          <w:szCs w:val="16"/>
        </w:rPr>
        <w:t>Felsher</w:t>
      </w:r>
      <w:proofErr w:type="spellEnd"/>
      <w:r w:rsidR="006B5A63" w:rsidRPr="0018791C">
        <w:rPr>
          <w:sz w:val="16"/>
          <w:szCs w:val="16"/>
        </w:rPr>
        <w:t>, B.L., and Millstein, S.G. (2002).</w:t>
      </w:r>
      <w:r w:rsidR="00B169C0" w:rsidRPr="0018791C">
        <w:rPr>
          <w:sz w:val="16"/>
          <w:szCs w:val="16"/>
        </w:rPr>
        <w:t xml:space="preserve">  </w:t>
      </w:r>
      <w:r w:rsidR="006B5A63" w:rsidRPr="0018791C">
        <w:rPr>
          <w:sz w:val="16"/>
          <w:szCs w:val="16"/>
        </w:rPr>
        <w:t xml:space="preserve">Beyond invulnerability: The importance of benefits in adolescents’ decision to drink alcohol. </w:t>
      </w:r>
      <w:r w:rsidR="00B169C0" w:rsidRPr="0018791C">
        <w:rPr>
          <w:sz w:val="16"/>
          <w:szCs w:val="16"/>
        </w:rPr>
        <w:t xml:space="preserve"> </w:t>
      </w:r>
      <w:r w:rsidR="006B5A63" w:rsidRPr="0018791C">
        <w:rPr>
          <w:i/>
          <w:iCs/>
          <w:sz w:val="16"/>
          <w:szCs w:val="16"/>
        </w:rPr>
        <w:t>Health Psychology, 21</w:t>
      </w:r>
      <w:r w:rsidR="006B5A63" w:rsidRPr="0018791C">
        <w:rPr>
          <w:sz w:val="16"/>
          <w:szCs w:val="16"/>
        </w:rPr>
        <w:t>(5), 477</w:t>
      </w:r>
      <w:r w:rsidR="00F654D6" w:rsidRPr="0018791C">
        <w:rPr>
          <w:sz w:val="16"/>
          <w:szCs w:val="16"/>
        </w:rPr>
        <w:t>–</w:t>
      </w:r>
      <w:r w:rsidR="006B5A63" w:rsidRPr="0018791C">
        <w:rPr>
          <w:sz w:val="16"/>
          <w:szCs w:val="16"/>
        </w:rPr>
        <w:t>484.</w:t>
      </w:r>
    </w:p>
    <w:p w14:paraId="6BC56CB9" w14:textId="4F3610D1" w:rsidR="0064652D" w:rsidRPr="0064652D" w:rsidRDefault="0018791C" w:rsidP="0064652D">
      <w:r w:rsidRPr="0018791C">
        <w:rPr>
          <w:sz w:val="16"/>
          <w:szCs w:val="16"/>
        </w:rPr>
        <w:t>15</w:t>
      </w:r>
      <w:r w:rsidR="00B169C0" w:rsidRPr="0018791C">
        <w:rPr>
          <w:sz w:val="16"/>
          <w:szCs w:val="16"/>
        </w:rPr>
        <w:t xml:space="preserve">    </w:t>
      </w:r>
      <w:r w:rsidR="006B5A63" w:rsidRPr="0018791C">
        <w:rPr>
          <w:sz w:val="16"/>
          <w:szCs w:val="16"/>
        </w:rPr>
        <w:t>Halpern-</w:t>
      </w:r>
      <w:proofErr w:type="spellStart"/>
      <w:r w:rsidR="006B5A63" w:rsidRPr="0018791C">
        <w:rPr>
          <w:sz w:val="16"/>
          <w:szCs w:val="16"/>
        </w:rPr>
        <w:t>Felsehr</w:t>
      </w:r>
      <w:proofErr w:type="spellEnd"/>
      <w:r w:rsidR="006B5A63" w:rsidRPr="0018791C">
        <w:rPr>
          <w:sz w:val="16"/>
          <w:szCs w:val="16"/>
        </w:rPr>
        <w:t xml:space="preserve">, B.L., and </w:t>
      </w:r>
      <w:proofErr w:type="spellStart"/>
      <w:r w:rsidR="006B5A63" w:rsidRPr="0018791C">
        <w:rPr>
          <w:sz w:val="16"/>
          <w:szCs w:val="16"/>
        </w:rPr>
        <w:t>Cauffman</w:t>
      </w:r>
      <w:proofErr w:type="spellEnd"/>
      <w:r w:rsidR="006B5A63" w:rsidRPr="0018791C">
        <w:rPr>
          <w:sz w:val="16"/>
          <w:szCs w:val="16"/>
        </w:rPr>
        <w:t>, E.</w:t>
      </w:r>
      <w:r w:rsidR="00B169C0" w:rsidRPr="0018791C">
        <w:rPr>
          <w:sz w:val="16"/>
          <w:szCs w:val="16"/>
        </w:rPr>
        <w:t xml:space="preserve"> </w:t>
      </w:r>
      <w:r w:rsidR="006B5A63" w:rsidRPr="0018791C">
        <w:rPr>
          <w:sz w:val="16"/>
          <w:szCs w:val="16"/>
        </w:rPr>
        <w:t xml:space="preserve"> (2001). </w:t>
      </w:r>
      <w:r w:rsidR="00B169C0" w:rsidRPr="0018791C">
        <w:rPr>
          <w:sz w:val="16"/>
          <w:szCs w:val="16"/>
        </w:rPr>
        <w:t xml:space="preserve"> </w:t>
      </w:r>
      <w:r w:rsidR="006B5A63" w:rsidRPr="0018791C">
        <w:rPr>
          <w:sz w:val="16"/>
          <w:szCs w:val="16"/>
        </w:rPr>
        <w:t>Costs and benefits of a decision: Decision-making competence in adolescents and adults</w:t>
      </w:r>
      <w:r w:rsidR="006B5A63" w:rsidRPr="0018791C">
        <w:rPr>
          <w:i/>
          <w:iCs/>
          <w:sz w:val="16"/>
          <w:szCs w:val="16"/>
        </w:rPr>
        <w:t xml:space="preserve">. </w:t>
      </w:r>
      <w:r w:rsidR="00B169C0" w:rsidRPr="0018791C">
        <w:rPr>
          <w:i/>
          <w:iCs/>
          <w:sz w:val="16"/>
          <w:szCs w:val="16"/>
        </w:rPr>
        <w:t xml:space="preserve"> </w:t>
      </w:r>
      <w:r w:rsidR="006B5A63" w:rsidRPr="0018791C">
        <w:rPr>
          <w:i/>
          <w:iCs/>
          <w:sz w:val="16"/>
          <w:szCs w:val="16"/>
        </w:rPr>
        <w:t>Journal of Applied Developmental Psychology, 22</w:t>
      </w:r>
      <w:r w:rsidR="006B5A63" w:rsidRPr="0018791C">
        <w:rPr>
          <w:sz w:val="16"/>
          <w:szCs w:val="16"/>
        </w:rPr>
        <w:t>(3), 257</w:t>
      </w:r>
      <w:r w:rsidR="00F654D6" w:rsidRPr="0018791C">
        <w:rPr>
          <w:sz w:val="16"/>
          <w:szCs w:val="16"/>
        </w:rPr>
        <w:t>–</w:t>
      </w:r>
      <w:r w:rsidR="006B5A63" w:rsidRPr="0018791C">
        <w:rPr>
          <w:sz w:val="16"/>
          <w:szCs w:val="16"/>
        </w:rPr>
        <w:t>273.</w:t>
      </w:r>
    </w:p>
    <w:sectPr w:rsidR="0064652D" w:rsidRPr="0064652D" w:rsidSect="00E5226B">
      <w:headerReference w:type="default" r:id="rId14"/>
      <w:footerReference w:type="default" r:id="rId15"/>
      <w:footerReference w:type="first" r:id="rId16"/>
      <w:pgSz w:w="12240" w:h="15840"/>
      <w:pgMar w:top="634" w:right="1800" w:bottom="12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0266E" w14:textId="77777777" w:rsidR="00C47372" w:rsidRDefault="00C47372" w:rsidP="00EA7202">
      <w:pPr>
        <w:spacing w:before="0" w:after="0"/>
      </w:pPr>
      <w:r>
        <w:separator/>
      </w:r>
    </w:p>
  </w:endnote>
  <w:endnote w:type="continuationSeparator" w:id="0">
    <w:p w14:paraId="73754F92" w14:textId="77777777" w:rsidR="00C47372" w:rsidRDefault="00C47372" w:rsidP="00EA72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aramon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28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898497" w14:textId="7FE49EC0" w:rsidR="00B169C0" w:rsidRDefault="00B169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3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D3D4B6" w14:textId="6C6C1C60" w:rsidR="00B169C0" w:rsidRDefault="00B169C0" w:rsidP="000F0A46">
    <w:pPr>
      <w:pStyle w:val="TopLogo"/>
      <w:tabs>
        <w:tab w:val="left" w:pos="536"/>
        <w:tab w:val="right" w:pos="9274"/>
      </w:tabs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04E86" w14:textId="61E0623B" w:rsidR="00B169C0" w:rsidRDefault="00B169C0" w:rsidP="00E244E5">
    <w:pPr>
      <w:pStyle w:val="Footer"/>
      <w:tabs>
        <w:tab w:val="clear" w:pos="4320"/>
        <w:tab w:val="clear" w:pos="8640"/>
        <w:tab w:val="left" w:pos="5356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13451" w14:textId="77777777" w:rsidR="00C47372" w:rsidRDefault="00C47372" w:rsidP="00EA7202">
      <w:pPr>
        <w:spacing w:before="0" w:after="0"/>
      </w:pPr>
      <w:r>
        <w:separator/>
      </w:r>
    </w:p>
  </w:footnote>
  <w:footnote w:type="continuationSeparator" w:id="0">
    <w:p w14:paraId="73F7D0F6" w14:textId="77777777" w:rsidR="00C47372" w:rsidRDefault="00C47372" w:rsidP="00EA720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84ADA" w14:textId="1414C703" w:rsidR="00B169C0" w:rsidRDefault="00B169C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3B5F0C" wp14:editId="7F4C09F7">
              <wp:simplePos x="0" y="0"/>
              <wp:positionH relativeFrom="column">
                <wp:posOffset>-782320</wp:posOffset>
              </wp:positionH>
              <wp:positionV relativeFrom="paragraph">
                <wp:posOffset>395605</wp:posOffset>
              </wp:positionV>
              <wp:extent cx="6972300" cy="233045"/>
              <wp:effectExtent l="0" t="0" r="0" b="0"/>
              <wp:wrapSquare wrapText="bothSides"/>
              <wp:docPr id="8" name="Text Box 8" descr="Im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2300" cy="233045"/>
                      </a:xfrm>
                      <a:prstGeom prst="rect">
                        <a:avLst/>
                      </a:prstGeom>
                      <a:solidFill>
                        <a:srgbClr val="83171A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508D7D" w14:textId="77777777" w:rsidR="00B169C0" w:rsidRPr="00847B06" w:rsidRDefault="00B169C0" w:rsidP="005A15A9">
                          <w:pPr>
                            <w:pStyle w:val="Main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alt="Description: Image" style="position:absolute;left:0;text-align:left;margin-left:-61.6pt;margin-top:31.15pt;width:549pt;height:1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" fillcolor="#83171a" stroked="f">
              <v:textbox inset="14.4pt,,14.4pt">
                <w:txbxContent>
                  <w:p w14:paraId="06508D7D" w14:textId="77777777" w:rsidR="00B169C0" w:rsidRPr="00847B06" w:rsidRDefault="00B169C0" w:rsidP="005A15A9">
                    <w:pPr>
                      <w:pStyle w:val="MainHead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6A6B6A" wp14:editId="284E889C">
              <wp:simplePos x="0" y="0"/>
              <wp:positionH relativeFrom="column">
                <wp:posOffset>-114300</wp:posOffset>
              </wp:positionH>
              <wp:positionV relativeFrom="paragraph">
                <wp:posOffset>628650</wp:posOffset>
              </wp:positionV>
              <wp:extent cx="6515100" cy="228600"/>
              <wp:effectExtent l="0" t="0" r="12700" b="0"/>
              <wp:wrapSquare wrapText="bothSides"/>
              <wp:docPr id="7" name="Text Box 7" descr="Im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5100" cy="2286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CDBE2F" w14:textId="0C2D0218" w:rsidR="00B169C0" w:rsidRPr="00847B06" w:rsidRDefault="00B169C0" w:rsidP="00E54D36">
                          <w:pPr>
                            <w:pStyle w:val="Second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9" type="#_x0000_t202" alt="Description: Image" style="position:absolute;left:0;text-align:left;margin-left:-9pt;margin-top:49.5pt;width:513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" fillcolor="black [3213]" stroked="f">
              <v:textbox inset="14.4pt,,14.4pt">
                <w:txbxContent>
                  <w:p w14:paraId="0ACDBE2F" w14:textId="0C2D0218" w:rsidR="00B169C0" w:rsidRPr="00847B06" w:rsidRDefault="00B169C0" w:rsidP="00E54D36">
                    <w:pPr>
                      <w:pStyle w:val="SecondHeader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356"/>
    <w:multiLevelType w:val="hybridMultilevel"/>
    <w:tmpl w:val="F63C22E0"/>
    <w:lvl w:ilvl="0" w:tplc="37923DF2">
      <w:start w:val="1"/>
      <w:numFmt w:val="bullet"/>
      <w:pStyle w:val="Bullet1"/>
      <w:lvlText w:val="»"/>
      <w:lvlJc w:val="left"/>
      <w:pPr>
        <w:ind w:left="288" w:hanging="288"/>
      </w:pPr>
      <w:rPr>
        <w:rFonts w:ascii="Arial" w:hAnsi="Arial" w:hint="default"/>
        <w:color w:val="7222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A5C91"/>
    <w:multiLevelType w:val="hybridMultilevel"/>
    <w:tmpl w:val="F710B572"/>
    <w:lvl w:ilvl="0" w:tplc="7C3C978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">
    <w:nsid w:val="09FD652A"/>
    <w:multiLevelType w:val="multilevel"/>
    <w:tmpl w:val="F710B572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">
    <w:nsid w:val="311F3B98"/>
    <w:multiLevelType w:val="multilevel"/>
    <w:tmpl w:val="BAB89576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4">
    <w:nsid w:val="351474E9"/>
    <w:multiLevelType w:val="hybridMultilevel"/>
    <w:tmpl w:val="B33C7CE8"/>
    <w:lvl w:ilvl="0" w:tplc="B846E64E">
      <w:start w:val="1"/>
      <w:numFmt w:val="bullet"/>
      <w:lvlText w:val="»"/>
      <w:lvlJc w:val="left"/>
      <w:pPr>
        <w:ind w:left="432" w:hanging="360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F685F"/>
    <w:multiLevelType w:val="hybridMultilevel"/>
    <w:tmpl w:val="C4F2F322"/>
    <w:lvl w:ilvl="0" w:tplc="21B6C0BE">
      <w:start w:val="1"/>
      <w:numFmt w:val="bullet"/>
      <w:lvlText w:val="–"/>
      <w:lvlJc w:val="left"/>
      <w:pPr>
        <w:ind w:left="504" w:hanging="144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6">
    <w:nsid w:val="4E05551C"/>
    <w:multiLevelType w:val="hybridMultilevel"/>
    <w:tmpl w:val="618A6876"/>
    <w:lvl w:ilvl="0" w:tplc="7CC2B35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7">
    <w:nsid w:val="52BD70B1"/>
    <w:multiLevelType w:val="multilevel"/>
    <w:tmpl w:val="C4F2F322"/>
    <w:lvl w:ilvl="0">
      <w:start w:val="1"/>
      <w:numFmt w:val="bullet"/>
      <w:lvlText w:val="–"/>
      <w:lvlJc w:val="left"/>
      <w:pPr>
        <w:ind w:left="504" w:hanging="144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8">
    <w:nsid w:val="5A6B74E5"/>
    <w:multiLevelType w:val="multilevel"/>
    <w:tmpl w:val="8D127CAE"/>
    <w:lvl w:ilvl="0">
      <w:start w:val="1"/>
      <w:numFmt w:val="bullet"/>
      <w:lvlText w:val="–"/>
      <w:lvlJc w:val="left"/>
      <w:pPr>
        <w:ind w:left="533" w:hanging="173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9">
    <w:nsid w:val="5AE95F64"/>
    <w:multiLevelType w:val="hybridMultilevel"/>
    <w:tmpl w:val="8D127CAE"/>
    <w:lvl w:ilvl="0" w:tplc="E7E28C66">
      <w:start w:val="1"/>
      <w:numFmt w:val="bullet"/>
      <w:lvlText w:val="–"/>
      <w:lvlJc w:val="left"/>
      <w:pPr>
        <w:ind w:left="533" w:hanging="173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0">
    <w:nsid w:val="5B075916"/>
    <w:multiLevelType w:val="hybridMultilevel"/>
    <w:tmpl w:val="DDE2E612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1">
    <w:nsid w:val="63D82C57"/>
    <w:multiLevelType w:val="hybridMultilevel"/>
    <w:tmpl w:val="E49E09A0"/>
    <w:lvl w:ilvl="0" w:tplc="9C281FE4">
      <w:start w:val="1"/>
      <w:numFmt w:val="bullet"/>
      <w:pStyle w:val="Bullet2"/>
      <w:lvlText w:val="–"/>
      <w:lvlJc w:val="left"/>
      <w:pPr>
        <w:ind w:left="1080" w:hanging="360"/>
      </w:pPr>
      <w:rPr>
        <w:rFonts w:ascii="Arial Narrow" w:hAnsi="Arial Narrow" w:hint="default"/>
        <w:color w:val="722226"/>
        <w:sz w:val="13"/>
        <w:szCs w:val="13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2">
    <w:nsid w:val="6A297611"/>
    <w:multiLevelType w:val="hybridMultilevel"/>
    <w:tmpl w:val="8DA095D6"/>
    <w:lvl w:ilvl="0" w:tplc="3B442710">
      <w:start w:val="1"/>
      <w:numFmt w:val="bullet"/>
      <w:lvlText w:val="»"/>
      <w:lvlJc w:val="left"/>
      <w:pPr>
        <w:ind w:left="533" w:hanging="360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3">
    <w:nsid w:val="755043DD"/>
    <w:multiLevelType w:val="multilevel"/>
    <w:tmpl w:val="8DA095D6"/>
    <w:lvl w:ilvl="0">
      <w:start w:val="1"/>
      <w:numFmt w:val="bullet"/>
      <w:lvlText w:val="»"/>
      <w:lvlJc w:val="left"/>
      <w:pPr>
        <w:ind w:left="533" w:hanging="360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4">
    <w:nsid w:val="79057B32"/>
    <w:multiLevelType w:val="multilevel"/>
    <w:tmpl w:val="B33C7CE8"/>
    <w:lvl w:ilvl="0">
      <w:start w:val="1"/>
      <w:numFmt w:val="bullet"/>
      <w:lvlText w:val="»"/>
      <w:lvlJc w:val="left"/>
      <w:pPr>
        <w:ind w:left="432" w:hanging="360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111C29"/>
    <w:multiLevelType w:val="multilevel"/>
    <w:tmpl w:val="98E2908C"/>
    <w:lvl w:ilvl="0">
      <w:start w:val="1"/>
      <w:numFmt w:val="bullet"/>
      <w:lvlText w:val="»"/>
      <w:lvlJc w:val="left"/>
      <w:pPr>
        <w:ind w:left="288" w:hanging="288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13"/>
  </w:num>
  <w:num w:numId="11">
    <w:abstractNumId w:val="4"/>
  </w:num>
  <w:num w:numId="12">
    <w:abstractNumId w:val="14"/>
  </w:num>
  <w:num w:numId="13">
    <w:abstractNumId w:val="0"/>
  </w:num>
  <w:num w:numId="14">
    <w:abstractNumId w:val="15"/>
  </w:num>
  <w:num w:numId="15">
    <w:abstractNumId w:val="0"/>
    <w:lvlOverride w:ilvl="0">
      <w:startOverride w:val="1"/>
    </w:lvlOverride>
  </w:num>
  <w:num w:numId="16">
    <w:abstractNumId w:val="3"/>
  </w:num>
  <w:num w:numId="17">
    <w:abstractNumId w:val="11"/>
  </w:num>
  <w:num w:numId="18">
    <w:abstractNumId w:val="0"/>
  </w:num>
  <w:num w:numId="19">
    <w:abstractNumId w:val="1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06"/>
    <w:rsid w:val="000759DE"/>
    <w:rsid w:val="000C18A0"/>
    <w:rsid w:val="000C36D2"/>
    <w:rsid w:val="000C5406"/>
    <w:rsid w:val="000F0A46"/>
    <w:rsid w:val="0010344A"/>
    <w:rsid w:val="00120E1D"/>
    <w:rsid w:val="00122CEA"/>
    <w:rsid w:val="00170FE6"/>
    <w:rsid w:val="0018791C"/>
    <w:rsid w:val="001B0B37"/>
    <w:rsid w:val="001F06DF"/>
    <w:rsid w:val="002007C2"/>
    <w:rsid w:val="00211B39"/>
    <w:rsid w:val="002252E3"/>
    <w:rsid w:val="0024150D"/>
    <w:rsid w:val="003970F0"/>
    <w:rsid w:val="004428FA"/>
    <w:rsid w:val="004516D5"/>
    <w:rsid w:val="004568C4"/>
    <w:rsid w:val="004713E5"/>
    <w:rsid w:val="004A09FF"/>
    <w:rsid w:val="004A2885"/>
    <w:rsid w:val="004B0B27"/>
    <w:rsid w:val="005A15A9"/>
    <w:rsid w:val="00621E65"/>
    <w:rsid w:val="00630948"/>
    <w:rsid w:val="0063548A"/>
    <w:rsid w:val="0064652D"/>
    <w:rsid w:val="006842EA"/>
    <w:rsid w:val="00692A4A"/>
    <w:rsid w:val="006A5B24"/>
    <w:rsid w:val="006B5A63"/>
    <w:rsid w:val="006E71E9"/>
    <w:rsid w:val="00733F46"/>
    <w:rsid w:val="00742484"/>
    <w:rsid w:val="00745EEF"/>
    <w:rsid w:val="007622A3"/>
    <w:rsid w:val="00763569"/>
    <w:rsid w:val="007709BD"/>
    <w:rsid w:val="00777F30"/>
    <w:rsid w:val="00782E75"/>
    <w:rsid w:val="007A7F72"/>
    <w:rsid w:val="008178A8"/>
    <w:rsid w:val="00847B06"/>
    <w:rsid w:val="00860FCC"/>
    <w:rsid w:val="0087629D"/>
    <w:rsid w:val="008778D7"/>
    <w:rsid w:val="008975F8"/>
    <w:rsid w:val="008E3966"/>
    <w:rsid w:val="00905FF7"/>
    <w:rsid w:val="009E095C"/>
    <w:rsid w:val="00A01C7E"/>
    <w:rsid w:val="00A07A38"/>
    <w:rsid w:val="00A570E4"/>
    <w:rsid w:val="00A91CA0"/>
    <w:rsid w:val="00AA40E3"/>
    <w:rsid w:val="00AC694A"/>
    <w:rsid w:val="00B169C0"/>
    <w:rsid w:val="00BC352A"/>
    <w:rsid w:val="00C15B9E"/>
    <w:rsid w:val="00C47372"/>
    <w:rsid w:val="00CD2873"/>
    <w:rsid w:val="00D363E2"/>
    <w:rsid w:val="00D55F4C"/>
    <w:rsid w:val="00D57A21"/>
    <w:rsid w:val="00DF03C9"/>
    <w:rsid w:val="00E244E5"/>
    <w:rsid w:val="00E5226B"/>
    <w:rsid w:val="00E54D36"/>
    <w:rsid w:val="00E62650"/>
    <w:rsid w:val="00EA7202"/>
    <w:rsid w:val="00ED0B57"/>
    <w:rsid w:val="00F654D6"/>
    <w:rsid w:val="00FB6C18"/>
    <w:rsid w:val="00FF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381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E6"/>
    <w:pPr>
      <w:spacing w:before="120" w:after="120"/>
      <w:ind w:left="-187" w:right="-634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B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7202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A7202"/>
    <w:rPr>
      <w:rFonts w:ascii="Arial" w:hAnsi="Arial" w:cs="Arial"/>
    </w:rPr>
  </w:style>
  <w:style w:type="paragraph" w:customStyle="1" w:styleId="MainHeader">
    <w:name w:val="Main Header"/>
    <w:next w:val="SecondHeader"/>
    <w:autoRedefine/>
    <w:qFormat/>
    <w:rsid w:val="004516D5"/>
    <w:rPr>
      <w:rFonts w:ascii="Arial Rounded MT Bold" w:hAnsi="Arial Rounded MT Bold"/>
      <w:caps/>
      <w:color w:val="FFFFFF" w:themeColor="background1"/>
      <w:sz w:val="30"/>
      <w:szCs w:val="30"/>
    </w:rPr>
  </w:style>
  <w:style w:type="paragraph" w:customStyle="1" w:styleId="SecondHeader">
    <w:name w:val="Second Header"/>
    <w:basedOn w:val="MainHeader"/>
    <w:autoRedefine/>
    <w:qFormat/>
    <w:rsid w:val="00E54D36"/>
    <w:pPr>
      <w:pBdr>
        <w:bottom w:val="single" w:sz="4" w:space="0" w:color="auto"/>
      </w:pBdr>
    </w:pPr>
    <w:rPr>
      <w:b/>
      <w:bCs/>
      <w:sz w:val="24"/>
      <w:szCs w:val="28"/>
    </w:rPr>
  </w:style>
  <w:style w:type="paragraph" w:customStyle="1" w:styleId="ThirdHeader">
    <w:name w:val="Third Header"/>
    <w:next w:val="Normal"/>
    <w:autoRedefine/>
    <w:qFormat/>
    <w:rsid w:val="00745EEF"/>
    <w:pPr>
      <w:spacing w:before="240" w:after="240"/>
      <w:ind w:left="-187" w:right="-634"/>
    </w:pPr>
    <w:rPr>
      <w:rFonts w:ascii="Arial" w:hAnsi="Arial" w:cs="Arial"/>
      <w:b/>
      <w:color w:val="96522F"/>
    </w:rPr>
  </w:style>
  <w:style w:type="paragraph" w:customStyle="1" w:styleId="Bullet1">
    <w:name w:val="Bullet 1"/>
    <w:autoRedefine/>
    <w:qFormat/>
    <w:rsid w:val="006B5A63"/>
    <w:pPr>
      <w:numPr>
        <w:numId w:val="13"/>
      </w:numPr>
      <w:spacing w:before="120" w:after="120"/>
      <w:ind w:right="-634"/>
    </w:pPr>
    <w:rPr>
      <w:rFonts w:ascii="Arial" w:hAnsi="Arial" w:cs="Arial"/>
    </w:rPr>
  </w:style>
  <w:style w:type="paragraph" w:customStyle="1" w:styleId="Bullet2">
    <w:name w:val="Bullet 2"/>
    <w:basedOn w:val="Bullet1"/>
    <w:autoRedefine/>
    <w:qFormat/>
    <w:rsid w:val="00D57A21"/>
    <w:pPr>
      <w:numPr>
        <w:numId w:val="17"/>
      </w:numPr>
      <w:spacing w:before="60" w:after="60"/>
    </w:pPr>
    <w:rPr>
      <w:sz w:val="22"/>
      <w:szCs w:val="23"/>
    </w:rPr>
  </w:style>
  <w:style w:type="paragraph" w:customStyle="1" w:styleId="TopLogo">
    <w:name w:val="Top Logo"/>
    <w:basedOn w:val="Normal"/>
    <w:qFormat/>
    <w:rsid w:val="00170FE6"/>
    <w:pPr>
      <w:jc w:val="right"/>
    </w:pPr>
  </w:style>
  <w:style w:type="paragraph" w:styleId="Footer">
    <w:name w:val="footer"/>
    <w:basedOn w:val="Normal"/>
    <w:link w:val="FooterChar"/>
    <w:uiPriority w:val="99"/>
    <w:unhideWhenUsed/>
    <w:rsid w:val="00EA7202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A7202"/>
    <w:rPr>
      <w:rFonts w:ascii="Arial" w:hAnsi="Arial" w:cs="Arial"/>
    </w:rPr>
  </w:style>
  <w:style w:type="paragraph" w:styleId="NoSpacing">
    <w:name w:val="No Spacing"/>
    <w:uiPriority w:val="1"/>
    <w:qFormat/>
    <w:rsid w:val="000F0A46"/>
    <w:pPr>
      <w:ind w:left="-187" w:right="-634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7635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C1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5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4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4D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4D6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54D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E6"/>
    <w:pPr>
      <w:spacing w:before="120" w:after="120"/>
      <w:ind w:left="-187" w:right="-634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B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7202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A7202"/>
    <w:rPr>
      <w:rFonts w:ascii="Arial" w:hAnsi="Arial" w:cs="Arial"/>
    </w:rPr>
  </w:style>
  <w:style w:type="paragraph" w:customStyle="1" w:styleId="MainHeader">
    <w:name w:val="Main Header"/>
    <w:next w:val="SecondHeader"/>
    <w:autoRedefine/>
    <w:qFormat/>
    <w:rsid w:val="004516D5"/>
    <w:rPr>
      <w:rFonts w:ascii="Arial Rounded MT Bold" w:hAnsi="Arial Rounded MT Bold"/>
      <w:caps/>
      <w:color w:val="FFFFFF" w:themeColor="background1"/>
      <w:sz w:val="30"/>
      <w:szCs w:val="30"/>
    </w:rPr>
  </w:style>
  <w:style w:type="paragraph" w:customStyle="1" w:styleId="SecondHeader">
    <w:name w:val="Second Header"/>
    <w:basedOn w:val="MainHeader"/>
    <w:autoRedefine/>
    <w:qFormat/>
    <w:rsid w:val="00E54D36"/>
    <w:pPr>
      <w:pBdr>
        <w:bottom w:val="single" w:sz="4" w:space="0" w:color="auto"/>
      </w:pBdr>
    </w:pPr>
    <w:rPr>
      <w:b/>
      <w:bCs/>
      <w:sz w:val="24"/>
      <w:szCs w:val="28"/>
    </w:rPr>
  </w:style>
  <w:style w:type="paragraph" w:customStyle="1" w:styleId="ThirdHeader">
    <w:name w:val="Third Header"/>
    <w:next w:val="Normal"/>
    <w:autoRedefine/>
    <w:qFormat/>
    <w:rsid w:val="00745EEF"/>
    <w:pPr>
      <w:spacing w:before="240" w:after="240"/>
      <w:ind w:left="-187" w:right="-634"/>
    </w:pPr>
    <w:rPr>
      <w:rFonts w:ascii="Arial" w:hAnsi="Arial" w:cs="Arial"/>
      <w:b/>
      <w:color w:val="96522F"/>
    </w:rPr>
  </w:style>
  <w:style w:type="paragraph" w:customStyle="1" w:styleId="Bullet1">
    <w:name w:val="Bullet 1"/>
    <w:autoRedefine/>
    <w:qFormat/>
    <w:rsid w:val="006B5A63"/>
    <w:pPr>
      <w:numPr>
        <w:numId w:val="13"/>
      </w:numPr>
      <w:spacing w:before="120" w:after="120"/>
      <w:ind w:right="-634"/>
    </w:pPr>
    <w:rPr>
      <w:rFonts w:ascii="Arial" w:hAnsi="Arial" w:cs="Arial"/>
    </w:rPr>
  </w:style>
  <w:style w:type="paragraph" w:customStyle="1" w:styleId="Bullet2">
    <w:name w:val="Bullet 2"/>
    <w:basedOn w:val="Bullet1"/>
    <w:autoRedefine/>
    <w:qFormat/>
    <w:rsid w:val="00D57A21"/>
    <w:pPr>
      <w:numPr>
        <w:numId w:val="17"/>
      </w:numPr>
      <w:spacing w:before="60" w:after="60"/>
    </w:pPr>
    <w:rPr>
      <w:sz w:val="22"/>
      <w:szCs w:val="23"/>
    </w:rPr>
  </w:style>
  <w:style w:type="paragraph" w:customStyle="1" w:styleId="TopLogo">
    <w:name w:val="Top Logo"/>
    <w:basedOn w:val="Normal"/>
    <w:qFormat/>
    <w:rsid w:val="00170FE6"/>
    <w:pPr>
      <w:jc w:val="right"/>
    </w:pPr>
  </w:style>
  <w:style w:type="paragraph" w:styleId="Footer">
    <w:name w:val="footer"/>
    <w:basedOn w:val="Normal"/>
    <w:link w:val="FooterChar"/>
    <w:uiPriority w:val="99"/>
    <w:unhideWhenUsed/>
    <w:rsid w:val="00EA7202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A7202"/>
    <w:rPr>
      <w:rFonts w:ascii="Arial" w:hAnsi="Arial" w:cs="Arial"/>
    </w:rPr>
  </w:style>
  <w:style w:type="paragraph" w:styleId="NoSpacing">
    <w:name w:val="No Spacing"/>
    <w:uiPriority w:val="1"/>
    <w:qFormat/>
    <w:rsid w:val="000F0A46"/>
    <w:pPr>
      <w:ind w:left="-187" w:right="-634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7635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C1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5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4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4D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4D6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54D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om.edu/Reports/2003/Reducing-Underage-Drinking-A-Collective-Responsibility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detc.org/UnderageDrinkingCosts.as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track.us/congress/bills/112/s88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underagedrinking.samhsa.gov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F3C816-8DAB-407A-B29C-32400C33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Gallup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Hardin, Molly</dc:creator>
  <cp:lastModifiedBy>Zurla , Christina</cp:lastModifiedBy>
  <cp:revision>2</cp:revision>
  <cp:lastPrinted>2012-12-13T23:59:00Z</cp:lastPrinted>
  <dcterms:created xsi:type="dcterms:W3CDTF">2013-05-29T13:53:00Z</dcterms:created>
  <dcterms:modified xsi:type="dcterms:W3CDTF">2013-05-29T13:53:00Z</dcterms:modified>
</cp:coreProperties>
</file>