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E7E5" w14:textId="77777777" w:rsidR="00AF1B88" w:rsidRDefault="00AF1B8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5"/>
        <w:tblW w:w="11175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250"/>
        <w:gridCol w:w="690"/>
        <w:gridCol w:w="1440"/>
        <w:gridCol w:w="285"/>
        <w:gridCol w:w="4905"/>
      </w:tblGrid>
      <w:tr w:rsidR="00AF1B88" w14:paraId="1235D4E4" w14:textId="77777777">
        <w:trPr>
          <w:trHeight w:val="508"/>
        </w:trPr>
        <w:tc>
          <w:tcPr>
            <w:tcW w:w="11175" w:type="dxa"/>
            <w:gridSpan w:val="6"/>
            <w:shd w:val="clear" w:color="auto" w:fill="E6E6E6"/>
          </w:tcPr>
          <w:p w14:paraId="2181F8E3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3004" w:right="29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 Operating Procedure Outline</w:t>
            </w:r>
          </w:p>
        </w:tc>
      </w:tr>
      <w:tr w:rsidR="00AF1B88" w14:paraId="6F0DB2F1" w14:textId="77777777">
        <w:trPr>
          <w:trHeight w:val="623"/>
        </w:trPr>
        <w:tc>
          <w:tcPr>
            <w:tcW w:w="1605" w:type="dxa"/>
          </w:tcPr>
          <w:p w14:paraId="3634D9B0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Category:</w:t>
            </w:r>
          </w:p>
        </w:tc>
        <w:tc>
          <w:tcPr>
            <w:tcW w:w="2940" w:type="dxa"/>
            <w:gridSpan w:val="2"/>
          </w:tcPr>
          <w:p w14:paraId="24900AE2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tudent Operations</w:t>
            </w:r>
          </w:p>
        </w:tc>
        <w:tc>
          <w:tcPr>
            <w:tcW w:w="1440" w:type="dxa"/>
          </w:tcPr>
          <w:p w14:paraId="44FE40B1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Department:</w:t>
            </w:r>
          </w:p>
        </w:tc>
        <w:tc>
          <w:tcPr>
            <w:tcW w:w="5190" w:type="dxa"/>
            <w:gridSpan w:val="2"/>
          </w:tcPr>
          <w:p w14:paraId="69048FCE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Student Services</w:t>
            </w:r>
          </w:p>
        </w:tc>
      </w:tr>
      <w:tr w:rsidR="00AF1B88" w14:paraId="0B150199" w14:textId="77777777">
        <w:trPr>
          <w:trHeight w:val="604"/>
        </w:trPr>
        <w:tc>
          <w:tcPr>
            <w:tcW w:w="1605" w:type="dxa"/>
          </w:tcPr>
          <w:p w14:paraId="7B96B0F9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Procedure:</w:t>
            </w:r>
          </w:p>
        </w:tc>
        <w:tc>
          <w:tcPr>
            <w:tcW w:w="9570" w:type="dxa"/>
            <w:gridSpan w:val="5"/>
          </w:tcPr>
          <w:p w14:paraId="5F10302C" w14:textId="1506B285" w:rsidR="00AF1B88" w:rsidRDefault="00EF47B4" w:rsidP="00CF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52" w:lineRule="auto"/>
              <w:ind w:right="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Immunizations</w:t>
            </w:r>
          </w:p>
        </w:tc>
      </w:tr>
      <w:tr w:rsidR="00AF1B88" w14:paraId="79814569" w14:textId="77777777">
        <w:trPr>
          <w:trHeight w:val="422"/>
        </w:trPr>
        <w:tc>
          <w:tcPr>
            <w:tcW w:w="3855" w:type="dxa"/>
            <w:gridSpan w:val="2"/>
          </w:tcPr>
          <w:p w14:paraId="3FEAF67E" w14:textId="56EFA333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Author: </w:t>
            </w:r>
            <w:r w:rsidR="00CF075C">
              <w:rPr>
                <w:color w:val="000000"/>
                <w:sz w:val="19"/>
                <w:szCs w:val="19"/>
              </w:rPr>
              <w:t>A. Martin</w:t>
            </w:r>
          </w:p>
        </w:tc>
        <w:tc>
          <w:tcPr>
            <w:tcW w:w="2415" w:type="dxa"/>
            <w:gridSpan w:val="3"/>
          </w:tcPr>
          <w:p w14:paraId="33FF042F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Version: 1.0</w:t>
            </w:r>
          </w:p>
        </w:tc>
        <w:tc>
          <w:tcPr>
            <w:tcW w:w="4905" w:type="dxa"/>
          </w:tcPr>
          <w:p w14:paraId="595052B1" w14:textId="379968F5" w:rsidR="00AF1B88" w:rsidRDefault="00CF0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May 26, 2022</w:t>
            </w:r>
          </w:p>
        </w:tc>
      </w:tr>
      <w:tr w:rsidR="00AF1B88" w14:paraId="0955C77F" w14:textId="77777777">
        <w:trPr>
          <w:trHeight w:val="450"/>
        </w:trPr>
        <w:tc>
          <w:tcPr>
            <w:tcW w:w="11175" w:type="dxa"/>
            <w:gridSpan w:val="6"/>
            <w:shd w:val="clear" w:color="auto" w:fill="E6E6E6"/>
          </w:tcPr>
          <w:p w14:paraId="6F50C9AC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Operational Objective(s)</w:t>
            </w:r>
          </w:p>
        </w:tc>
      </w:tr>
      <w:tr w:rsidR="00AF1B88" w14:paraId="6D1F2B1A" w14:textId="77777777">
        <w:trPr>
          <w:trHeight w:val="1095"/>
        </w:trPr>
        <w:tc>
          <w:tcPr>
            <w:tcW w:w="11175" w:type="dxa"/>
            <w:gridSpan w:val="6"/>
          </w:tcPr>
          <w:p w14:paraId="3AD2F7ED" w14:textId="77777777" w:rsidR="00AF1B88" w:rsidRDefault="00EF47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77" w:line="252" w:lineRule="auto"/>
              <w:ind w:left="834" w:right="488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Effectively register a student’s immunization history in PowerSchool</w:t>
            </w:r>
          </w:p>
          <w:p w14:paraId="4A7E200E" w14:textId="77777777" w:rsidR="00AF1B88" w:rsidRDefault="00EF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77" w:line="252" w:lineRule="auto"/>
              <w:rPr>
                <w:sz w:val="19"/>
                <w:szCs w:val="19"/>
              </w:rPr>
            </w:pPr>
            <w:r>
              <w:rPr>
                <w:noProof/>
              </w:rPr>
              <w:pict w14:anchorId="366AB278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3A09492" w14:textId="77777777" w:rsidR="00AF1B88" w:rsidRDefault="00EF47B4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student registration:</w:t>
            </w:r>
          </w:p>
          <w:p w14:paraId="22709CED" w14:textId="77777777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 xml:space="preserve"> Parent signs in a new student.</w:t>
            </w:r>
          </w:p>
          <w:p w14:paraId="5540FB8D" w14:textId="77777777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>Options for immunization records:</w:t>
            </w:r>
          </w:p>
          <w:p w14:paraId="38FF26B1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 xml:space="preserve">Student has a current Tennessee immunization record:  </w:t>
            </w:r>
          </w:p>
          <w:p w14:paraId="2F7C1F4E" w14:textId="02331F21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 xml:space="preserve">Give to the </w:t>
            </w:r>
            <w:r w:rsidR="002838AE">
              <w:t>Med-Clerk and/or attendance clerk</w:t>
            </w:r>
            <w:r>
              <w:t xml:space="preserve"> to annotate immunizations in </w:t>
            </w:r>
            <w:r w:rsidR="002838AE">
              <w:t>Skyward</w:t>
            </w:r>
            <w:r>
              <w:t xml:space="preserve"> </w:t>
            </w:r>
            <w:r>
              <w:rPr>
                <w:i/>
              </w:rPr>
              <w:t>OR</w:t>
            </w:r>
          </w:p>
          <w:p w14:paraId="47C9C65B" w14:textId="2BF78207" w:rsidR="00AF1B88" w:rsidRDefault="002838AE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>Med-Clerk</w:t>
            </w:r>
            <w:r w:rsidR="00EF47B4">
              <w:t xml:space="preserve"> annotates immunizations in </w:t>
            </w:r>
            <w:r>
              <w:t>Skyward</w:t>
            </w:r>
            <w:r w:rsidR="00EF47B4">
              <w:t xml:space="preserve"> and gives to the nurse for review</w:t>
            </w:r>
          </w:p>
          <w:p w14:paraId="22CB74CA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 xml:space="preserve">Student has a current out-of-state immunization record: </w:t>
            </w:r>
          </w:p>
          <w:p w14:paraId="724C3A27" w14:textId="77777777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>Have the parent go to the Health Department or physici</w:t>
            </w:r>
            <w:r>
              <w:t xml:space="preserve">an to have an out-of-state record transferred to a Tennessee form.  Register once a record has been received. </w:t>
            </w:r>
          </w:p>
          <w:p w14:paraId="715FE306" w14:textId="44B9AF82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 xml:space="preserve">If the student is registered prior to obtaining a TN form, inform the parent that they must provide a form within two </w:t>
            </w:r>
            <w:r w:rsidR="002838AE">
              <w:t>weeks,</w:t>
            </w:r>
            <w:r>
              <w:t xml:space="preserve"> or the student will n</w:t>
            </w:r>
            <w:r>
              <w:t>ot be able to attend school.</w:t>
            </w:r>
          </w:p>
          <w:p w14:paraId="06955CF0" w14:textId="77777777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>Once the immunization record is obtained, follow step 2a.</w:t>
            </w:r>
          </w:p>
          <w:p w14:paraId="2B1B0B20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>Student does not have an immunization record:</w:t>
            </w:r>
          </w:p>
          <w:p w14:paraId="47869D58" w14:textId="77777777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>The student should not be registered without an immunization record.</w:t>
            </w:r>
          </w:p>
          <w:p w14:paraId="124F2731" w14:textId="3FE58E11" w:rsidR="00AF1B88" w:rsidRDefault="00EF47B4">
            <w:pPr>
              <w:widowControl/>
              <w:numPr>
                <w:ilvl w:val="2"/>
                <w:numId w:val="1"/>
              </w:numPr>
              <w:spacing w:line="276" w:lineRule="auto"/>
            </w:pPr>
            <w:r>
              <w:t>If the parent is unable to obtain an immunization reco</w:t>
            </w:r>
            <w:r>
              <w:t xml:space="preserve">rd prior to registering, the student may be </w:t>
            </w:r>
            <w:r w:rsidR="002838AE">
              <w:t>registered,</w:t>
            </w:r>
            <w:r>
              <w:t xml:space="preserve"> and the parent informed that they need to supply a record within one month of the registration date or the student will not be able to attend school.</w:t>
            </w:r>
          </w:p>
          <w:p w14:paraId="019F3DB3" w14:textId="3804DE31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 xml:space="preserve"> Students who are homeless, immigrants or in foster</w:t>
            </w:r>
            <w:r>
              <w:t xml:space="preserve"> care are not mandated to provide an immunization record.  Please make every attempt to secure one.  If there are problems, contact </w:t>
            </w:r>
            <w:r>
              <w:t>Student Services, 9</w:t>
            </w:r>
            <w:r w:rsidR="002838AE">
              <w:t>01</w:t>
            </w:r>
            <w:r>
              <w:t>-</w:t>
            </w:r>
            <w:r w:rsidR="002838AE">
              <w:t>752</w:t>
            </w:r>
            <w:r>
              <w:t>-</w:t>
            </w:r>
            <w:r w:rsidR="002838AE">
              <w:t>7900</w:t>
            </w:r>
            <w:r>
              <w:t>.</w:t>
            </w:r>
          </w:p>
          <w:p w14:paraId="550EA6A9" w14:textId="77777777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 xml:space="preserve"> For students (from 2c) who have been registered without an immunization reco</w:t>
            </w:r>
            <w:r>
              <w:t>rd:</w:t>
            </w:r>
          </w:p>
          <w:p w14:paraId="2E1C88CC" w14:textId="19DBE36A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lastRenderedPageBreak/>
              <w:t xml:space="preserve">The </w:t>
            </w:r>
            <w:r w:rsidR="002838AE">
              <w:t>Med-Clerk</w:t>
            </w:r>
            <w:r>
              <w:t xml:space="preserve"> </w:t>
            </w:r>
            <w:r w:rsidR="002838AE">
              <w:t>and/</w:t>
            </w:r>
            <w:r>
              <w:t xml:space="preserve">or the </w:t>
            </w:r>
            <w:r w:rsidR="002838AE">
              <w:t>attendance clerk</w:t>
            </w:r>
            <w:r>
              <w:t xml:space="preserve"> should keep track of when the immunization is due.</w:t>
            </w:r>
          </w:p>
          <w:p w14:paraId="17B8D287" w14:textId="26FFBAF5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 xml:space="preserve">The </w:t>
            </w:r>
            <w:r w:rsidR="002838AE">
              <w:t>Med-Clerk and/or attendance clerk</w:t>
            </w:r>
            <w:r>
              <w:t xml:space="preserve"> should contact the parent to inform them that they need to bring an immunization </w:t>
            </w:r>
            <w:r w:rsidR="002838AE">
              <w:t>record,</w:t>
            </w:r>
            <w:r>
              <w:t xml:space="preserve"> or the student should not come to school. This is an unexcu</w:t>
            </w:r>
            <w:r>
              <w:t>sed absence and can be covered by a parent note if the parent desires.</w:t>
            </w:r>
          </w:p>
          <w:p w14:paraId="28714568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>Once the immunization record is received follow step 2a.</w:t>
            </w:r>
          </w:p>
          <w:p w14:paraId="1C8081BF" w14:textId="77777777" w:rsidR="00AF1B88" w:rsidRDefault="00AF1B88">
            <w:pPr>
              <w:widowControl/>
              <w:spacing w:line="276" w:lineRule="auto"/>
              <w:ind w:left="1440"/>
            </w:pPr>
          </w:p>
          <w:p w14:paraId="08FE437F" w14:textId="77777777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 xml:space="preserve"> Students who are on an extended or make-up schedule will have a temporary immunization record. </w:t>
            </w:r>
          </w:p>
          <w:p w14:paraId="1D702113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 xml:space="preserve">Section 3a </w:t>
            </w:r>
            <w:r>
              <w:rPr>
                <w:highlight w:val="white"/>
              </w:rPr>
              <w:t>of the TN immunizat</w:t>
            </w:r>
            <w:r>
              <w:rPr>
                <w:highlight w:val="white"/>
              </w:rPr>
              <w:t xml:space="preserve">ion record </w:t>
            </w:r>
            <w:r>
              <w:t>will be marked and an expected date of next dose should be listed.</w:t>
            </w:r>
          </w:p>
          <w:p w14:paraId="71B1A9BF" w14:textId="55DB112B" w:rsidR="00AF1B88" w:rsidRDefault="002838AE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>Med-Clerk or attendance clerk</w:t>
            </w:r>
            <w:r w:rsidR="00EF47B4">
              <w:t xml:space="preserve"> should keep track of the date the next dose is due and contact the parent if an updated immunization record is not obtained within one week.</w:t>
            </w:r>
          </w:p>
          <w:p w14:paraId="47C9E80B" w14:textId="77777777" w:rsidR="00AF1B88" w:rsidRDefault="00AF1B88">
            <w:pPr>
              <w:widowControl/>
              <w:spacing w:line="276" w:lineRule="auto"/>
              <w:ind w:left="1440"/>
            </w:pPr>
          </w:p>
          <w:p w14:paraId="27D7B7F4" w14:textId="77777777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>Parents may reque</w:t>
            </w:r>
            <w:r>
              <w:t xml:space="preserve">st that their students not receive immunizations.  The only reasons are Medical exemption and Religious exemption.  </w:t>
            </w:r>
          </w:p>
          <w:p w14:paraId="19B8C9D5" w14:textId="77777777" w:rsidR="00AF1B88" w:rsidRDefault="00EF47B4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>Medical exemptions require documentation from a physician either on the immunization record or a letter or prescription.</w:t>
            </w:r>
          </w:p>
          <w:p w14:paraId="6123C113" w14:textId="71967DC9" w:rsidR="00AF1B88" w:rsidRPr="00695ACB" w:rsidRDefault="00EF47B4">
            <w:pPr>
              <w:widowControl/>
              <w:numPr>
                <w:ilvl w:val="1"/>
                <w:numId w:val="1"/>
              </w:numPr>
              <w:spacing w:line="276" w:lineRule="auto"/>
              <w:rPr>
                <w:rStyle w:val="Hyperlink"/>
              </w:rPr>
            </w:pPr>
            <w:r>
              <w:t xml:space="preserve">Religious exemptions require a form completed by the parent </w:t>
            </w:r>
            <w:r>
              <w:rPr>
                <w:b/>
                <w:i/>
                <w:u w:val="single"/>
              </w:rPr>
              <w:t>(</w:t>
            </w:r>
            <w:r w:rsidR="00695ACB">
              <w:rPr>
                <w:b/>
                <w:i/>
                <w:color w:val="1155CC"/>
                <w:u w:val="single"/>
              </w:rPr>
              <w:fldChar w:fldCharType="begin"/>
            </w:r>
            <w:r w:rsidR="00695ACB">
              <w:rPr>
                <w:b/>
                <w:i/>
                <w:color w:val="1155CC"/>
                <w:u w:val="single"/>
              </w:rPr>
              <w:instrText xml:space="preserve"> HYPERLINK "https://www.thephysedexpress.com/religious-exemption-letter.html" </w:instrText>
            </w:r>
            <w:r w:rsidR="00695ACB">
              <w:rPr>
                <w:b/>
                <w:i/>
                <w:color w:val="1155CC"/>
                <w:u w:val="single"/>
              </w:rPr>
            </w:r>
            <w:r w:rsidR="00695ACB">
              <w:rPr>
                <w:b/>
                <w:i/>
                <w:color w:val="1155CC"/>
                <w:u w:val="single"/>
              </w:rPr>
              <w:fldChar w:fldCharType="separate"/>
            </w:r>
            <w:r w:rsidRPr="00695ACB">
              <w:rPr>
                <w:rStyle w:val="Hyperlink"/>
                <w:b/>
                <w:i/>
              </w:rPr>
              <w:t>LINK</w:t>
            </w:r>
            <w:r w:rsidRPr="00695ACB">
              <w:rPr>
                <w:rStyle w:val="Hyperlink"/>
                <w:b/>
                <w:i/>
              </w:rPr>
              <w:t>)</w:t>
            </w:r>
            <w:r w:rsidR="00695ACB">
              <w:rPr>
                <w:rStyle w:val="Hyperlink"/>
                <w:b/>
                <w:i/>
              </w:rPr>
              <w:t xml:space="preserve">  </w:t>
            </w:r>
          </w:p>
          <w:p w14:paraId="7173342E" w14:textId="714C191F" w:rsidR="00AF1B88" w:rsidRPr="00695ACB" w:rsidRDefault="00695ACB" w:rsidP="00695ACB">
            <w:pPr>
              <w:widowControl/>
              <w:numPr>
                <w:ilvl w:val="1"/>
                <w:numId w:val="1"/>
              </w:numPr>
              <w:spacing w:line="276" w:lineRule="auto"/>
              <w:rPr>
                <w:highlight w:val="white"/>
              </w:rPr>
            </w:pPr>
            <w:r w:rsidRPr="00695ACB">
              <w:rPr>
                <w:b/>
                <w:i/>
                <w:color w:val="1155CC"/>
                <w:u w:val="single"/>
              </w:rPr>
              <w:fldChar w:fldCharType="end"/>
            </w:r>
            <w:r>
              <w:t xml:space="preserve">Medical exemptions require a form completed by the parent </w:t>
            </w:r>
            <w:hyperlink r:id="rId8" w:history="1">
              <w:r w:rsidRPr="00695ACB">
                <w:rPr>
                  <w:rStyle w:val="Hyperlink"/>
                  <w:b/>
                  <w:bCs/>
                  <w:i/>
                  <w:iCs/>
                </w:rPr>
                <w:t>(LINK)</w:t>
              </w:r>
            </w:hyperlink>
          </w:p>
          <w:p w14:paraId="103CF8FE" w14:textId="132837E4" w:rsidR="00695ACB" w:rsidRDefault="00695ACB" w:rsidP="00695ACB">
            <w:pPr>
              <w:widowControl/>
              <w:numPr>
                <w:ilvl w:val="1"/>
                <w:numId w:val="1"/>
              </w:numPr>
              <w:spacing w:line="276" w:lineRule="auto"/>
            </w:pPr>
            <w:r>
              <w:t>Exemptions are annotated in</w:t>
            </w:r>
            <w:r>
              <w:t xml:space="preserve"> </w:t>
            </w:r>
            <w:r w:rsidR="00CF075C">
              <w:t>Skyward,</w:t>
            </w:r>
            <w:r>
              <w:t xml:space="preserve"> </w:t>
            </w:r>
            <w:r>
              <w:rPr>
                <w:highlight w:val="white"/>
              </w:rPr>
              <w:t>and a copy is sent to Student Services</w:t>
            </w:r>
            <w:r>
              <w:t>.</w:t>
            </w:r>
          </w:p>
          <w:p w14:paraId="3F5A18AD" w14:textId="77777777" w:rsidR="00695ACB" w:rsidRPr="00695ACB" w:rsidRDefault="00695ACB" w:rsidP="00695ACB">
            <w:pPr>
              <w:widowControl/>
              <w:spacing w:line="276" w:lineRule="auto"/>
              <w:ind w:left="1440"/>
              <w:rPr>
                <w:highlight w:val="white"/>
              </w:rPr>
            </w:pPr>
          </w:p>
          <w:p w14:paraId="6BA5B5F4" w14:textId="6A122C11" w:rsidR="00AF1B88" w:rsidRDefault="00EF47B4">
            <w:pPr>
              <w:widowControl/>
              <w:numPr>
                <w:ilvl w:val="0"/>
                <w:numId w:val="1"/>
              </w:numPr>
              <w:spacing w:line="276" w:lineRule="auto"/>
            </w:pPr>
            <w:r>
              <w:t xml:space="preserve">Once the immunization record or exemption has been annotated in </w:t>
            </w:r>
            <w:r w:rsidR="00695ACB">
              <w:t>Skyward</w:t>
            </w:r>
            <w:r>
              <w:t xml:space="preserve"> it is filed in the CUM folder.</w:t>
            </w:r>
          </w:p>
          <w:p w14:paraId="4F424B8C" w14:textId="77777777" w:rsidR="00AF1B88" w:rsidRDefault="00AF1B88">
            <w:pPr>
              <w:widowControl/>
              <w:spacing w:line="276" w:lineRule="auto"/>
              <w:ind w:left="720"/>
              <w:rPr>
                <w:sz w:val="28"/>
                <w:szCs w:val="28"/>
              </w:rPr>
            </w:pPr>
          </w:p>
          <w:p w14:paraId="3D592814" w14:textId="77777777" w:rsidR="00AF1B88" w:rsidRDefault="00EF47B4">
            <w:pPr>
              <w:widowControl/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Yearly review of immunizations:</w:t>
            </w:r>
            <w:r>
              <w:rPr>
                <w:b/>
              </w:rPr>
              <w:br/>
            </w:r>
          </w:p>
          <w:p w14:paraId="20636886" w14:textId="11EC7587" w:rsidR="00AF1B88" w:rsidRDefault="00EF47B4">
            <w:pPr>
              <w:widowControl/>
              <w:spacing w:line="276" w:lineRule="auto"/>
            </w:pPr>
            <w:r>
              <w:t xml:space="preserve">The </w:t>
            </w:r>
            <w:r w:rsidR="00695ACB">
              <w:t>Lead Nurse and CSH</w:t>
            </w:r>
            <w:r>
              <w:t xml:space="preserve"> should review each student’s immunization record in</w:t>
            </w:r>
            <w:r w:rsidR="00695ACB">
              <w:t xml:space="preserve"> Skyward</w:t>
            </w:r>
            <w:r>
              <w:t xml:space="preserve"> at the beginning of the school year to en</w:t>
            </w:r>
            <w:r>
              <w:t xml:space="preserve">sure that all the required immunizations have been completed. All 7th grade students require a </w:t>
            </w:r>
            <w:proofErr w:type="spellStart"/>
            <w:r>
              <w:t>tDap</w:t>
            </w:r>
            <w:proofErr w:type="spellEnd"/>
            <w:r>
              <w:t xml:space="preserve"> booster unless they have an exemption form.</w:t>
            </w:r>
          </w:p>
          <w:p w14:paraId="20ADADAE" w14:textId="77777777" w:rsidR="00AF1B88" w:rsidRDefault="00AF1B88">
            <w:pPr>
              <w:widowControl/>
              <w:spacing w:line="276" w:lineRule="auto"/>
            </w:pPr>
          </w:p>
          <w:p w14:paraId="41ECAD40" w14:textId="77777777" w:rsidR="00AF1B88" w:rsidRDefault="00EF47B4">
            <w:pPr>
              <w:widowControl/>
              <w:numPr>
                <w:ilvl w:val="0"/>
                <w:numId w:val="2"/>
              </w:numPr>
              <w:spacing w:line="276" w:lineRule="auto"/>
            </w:pPr>
            <w:r>
              <w:t>If all immunizations are current for a student, move on to the next student.</w:t>
            </w:r>
          </w:p>
          <w:p w14:paraId="2FBF3D34" w14:textId="77777777" w:rsidR="00AF1B88" w:rsidRDefault="00EF47B4">
            <w:pPr>
              <w:widowControl/>
              <w:numPr>
                <w:ilvl w:val="0"/>
                <w:numId w:val="2"/>
              </w:numPr>
              <w:spacing w:line="276" w:lineRule="auto"/>
            </w:pPr>
            <w:r>
              <w:t>If an immunization is missing:</w:t>
            </w:r>
          </w:p>
          <w:p w14:paraId="569BBC45" w14:textId="77777777" w:rsidR="00AF1B88" w:rsidRDefault="00EF47B4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t>Mar</w:t>
            </w:r>
            <w:r>
              <w:t>k the missing immunization(s) as “Non-compliant”</w:t>
            </w:r>
          </w:p>
          <w:p w14:paraId="2F928EBD" w14:textId="68E86029" w:rsidR="00AF1B88" w:rsidRDefault="00EF47B4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t xml:space="preserve">Once the review of all students has been completed, run a </w:t>
            </w:r>
            <w:r w:rsidR="00695ACB">
              <w:t>Skyward</w:t>
            </w:r>
            <w:r>
              <w:t xml:space="preserve"> Report for Non-compliant individuals</w:t>
            </w:r>
          </w:p>
          <w:p w14:paraId="247AC32D" w14:textId="77777777" w:rsidR="00AF1B88" w:rsidRDefault="00EF47B4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t>Contact the parent by phone to request an updated immunization record.  Inform the parent that the s</w:t>
            </w:r>
            <w:r>
              <w:t>tudent will not be able to attend school if the immunization record is not received in two weeks.</w:t>
            </w:r>
          </w:p>
          <w:p w14:paraId="149E5903" w14:textId="3073EE6F" w:rsidR="00AF1B88" w:rsidRDefault="00EF47B4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lastRenderedPageBreak/>
              <w:t>Send a reminder letter home</w:t>
            </w:r>
            <w:r w:rsidR="00CF075C">
              <w:t xml:space="preserve"> </w:t>
            </w:r>
            <w:hyperlink r:id="rId9" w:history="1">
              <w:r w:rsidR="00CF075C" w:rsidRPr="00CF075C">
                <w:rPr>
                  <w:rStyle w:val="Hyperlink"/>
                  <w:b/>
                  <w:bCs/>
                  <w:i/>
                  <w:iCs/>
                </w:rPr>
                <w:t>(LINK)</w:t>
              </w:r>
            </w:hyperlink>
            <w:r w:rsidR="00CF075C">
              <w:t xml:space="preserve"> to </w:t>
            </w:r>
            <w:r>
              <w:t>the parents after one week requesting the completed immunization record.</w:t>
            </w:r>
          </w:p>
          <w:p w14:paraId="19C97C64" w14:textId="6A485195" w:rsidR="00AF1B88" w:rsidRDefault="00EF47B4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t>Send a second reminder letter home</w:t>
            </w:r>
            <w:r w:rsidR="00695ACB">
              <w:t xml:space="preserve"> </w:t>
            </w:r>
            <w:hyperlink r:id="rId10" w:history="1">
              <w:r w:rsidR="00695ACB" w:rsidRPr="00CF075C">
                <w:rPr>
                  <w:rStyle w:val="Hyperlink"/>
                  <w:b/>
                  <w:bCs/>
                  <w:i/>
                  <w:iCs/>
                </w:rPr>
                <w:t>(LINK)</w:t>
              </w:r>
            </w:hyperlink>
            <w:r w:rsidR="00695ACB">
              <w:t xml:space="preserve"> af</w:t>
            </w:r>
            <w:r>
              <w:t>ter the first week, giving them one more week.</w:t>
            </w:r>
          </w:p>
          <w:p w14:paraId="08705FAB" w14:textId="3DA9D938" w:rsidR="00AF1B88" w:rsidRPr="00CF075C" w:rsidRDefault="00EF47B4" w:rsidP="00CF075C">
            <w:pPr>
              <w:widowControl/>
              <w:numPr>
                <w:ilvl w:val="1"/>
                <w:numId w:val="2"/>
              </w:numPr>
              <w:spacing w:line="276" w:lineRule="auto"/>
            </w:pPr>
            <w:r>
              <w:t>If the parent does not provide an immunization record within the required time frame, work with administratio</w:t>
            </w:r>
            <w:r>
              <w:t>n to have the student sent home until a record can be submitted.</w:t>
            </w:r>
          </w:p>
          <w:p w14:paraId="5A12C822" w14:textId="77777777" w:rsidR="00AF1B88" w:rsidRDefault="00AF1B88">
            <w:pPr>
              <w:spacing w:before="1"/>
              <w:rPr>
                <w:b/>
                <w:sz w:val="21"/>
                <w:szCs w:val="21"/>
              </w:rPr>
            </w:pPr>
          </w:p>
          <w:p w14:paraId="1D94B637" w14:textId="77777777" w:rsidR="00AF1B88" w:rsidRDefault="00AF1B88">
            <w:pPr>
              <w:spacing w:line="252" w:lineRule="auto"/>
              <w:ind w:left="232" w:right="243"/>
              <w:rPr>
                <w:sz w:val="17"/>
                <w:szCs w:val="17"/>
              </w:rPr>
            </w:pPr>
          </w:p>
        </w:tc>
      </w:tr>
    </w:tbl>
    <w:p w14:paraId="5FC57D74" w14:textId="77777777" w:rsidR="00AF1B88" w:rsidRDefault="00AF1B88">
      <w:pPr>
        <w:spacing w:before="100"/>
        <w:rPr>
          <w:rFonts w:ascii="Arial Narrow" w:eastAsia="Arial Narrow" w:hAnsi="Arial Narrow" w:cs="Arial Narrow"/>
          <w:sz w:val="12"/>
          <w:szCs w:val="12"/>
        </w:rPr>
      </w:pPr>
    </w:p>
    <w:sectPr w:rsidR="00AF1B88">
      <w:headerReference w:type="default" r:id="rId11"/>
      <w:pgSz w:w="12240" w:h="15840"/>
      <w:pgMar w:top="1820" w:right="520" w:bottom="3060" w:left="720" w:header="432" w:footer="2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0913" w14:textId="77777777" w:rsidR="00EF47B4" w:rsidRDefault="00EF47B4">
      <w:r>
        <w:separator/>
      </w:r>
    </w:p>
  </w:endnote>
  <w:endnote w:type="continuationSeparator" w:id="0">
    <w:p w14:paraId="3DFE6F57" w14:textId="77777777" w:rsidR="00EF47B4" w:rsidRDefault="00E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459F" w14:textId="77777777" w:rsidR="00EF47B4" w:rsidRDefault="00EF47B4">
      <w:r>
        <w:separator/>
      </w:r>
    </w:p>
  </w:footnote>
  <w:footnote w:type="continuationSeparator" w:id="0">
    <w:p w14:paraId="4BDCE283" w14:textId="77777777" w:rsidR="00EF47B4" w:rsidRDefault="00EF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CBE4" w14:textId="771225ED" w:rsidR="00AF1B88" w:rsidRDefault="00CF07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45DBD4" wp14:editId="53D3D72A">
          <wp:simplePos x="0" y="0"/>
          <wp:positionH relativeFrom="margin">
            <wp:posOffset>-76034</wp:posOffset>
          </wp:positionH>
          <wp:positionV relativeFrom="margin">
            <wp:posOffset>-1036817</wp:posOffset>
          </wp:positionV>
          <wp:extent cx="1184275" cy="88455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7B4"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4A8B670" wp14:editId="576B8688">
              <wp:simplePos x="0" y="0"/>
              <wp:positionH relativeFrom="page">
                <wp:posOffset>1905635</wp:posOffset>
              </wp:positionH>
              <wp:positionV relativeFrom="page">
                <wp:posOffset>738189</wp:posOffset>
              </wp:positionV>
              <wp:extent cx="5495205" cy="855454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2760" y="3507585"/>
                        <a:ext cx="358648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BF94C" w14:textId="77777777" w:rsidR="00AF1B88" w:rsidRDefault="00EF47B4">
                          <w:pPr>
                            <w:spacing w:before="12" w:line="237" w:lineRule="auto"/>
                            <w:ind w:left="20" w:right="17" w:firstLine="131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Immunizations</w:t>
                          </w:r>
                        </w:p>
                        <w:p w14:paraId="4BD7A64F" w14:textId="77777777" w:rsidR="00AF1B88" w:rsidRDefault="00AF1B88">
                          <w:pPr>
                            <w:spacing w:before="3"/>
                            <w:ind w:right="17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1905635</wp:posOffset>
              </wp:positionH>
              <wp:positionV relativeFrom="page">
                <wp:posOffset>738189</wp:posOffset>
              </wp:positionV>
              <wp:extent cx="5495205" cy="855454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205" cy="8554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ED1"/>
    <w:multiLevelType w:val="multilevel"/>
    <w:tmpl w:val="E222D044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  <w:b w:val="0"/>
        <w:i w:val="0"/>
        <w:sz w:val="19"/>
        <w:szCs w:val="19"/>
      </w:rPr>
    </w:lvl>
    <w:lvl w:ilvl="1">
      <w:start w:val="1"/>
      <w:numFmt w:val="bullet"/>
      <w:lvlText w:val="•"/>
      <w:lvlJc w:val="left"/>
      <w:pPr>
        <w:ind w:left="1798" w:hanging="360"/>
      </w:pPr>
    </w:lvl>
    <w:lvl w:ilvl="2">
      <w:start w:val="1"/>
      <w:numFmt w:val="bullet"/>
      <w:lvlText w:val="•"/>
      <w:lvlJc w:val="left"/>
      <w:pPr>
        <w:ind w:left="2757" w:hanging="360"/>
      </w:pPr>
    </w:lvl>
    <w:lvl w:ilvl="3">
      <w:start w:val="1"/>
      <w:numFmt w:val="bullet"/>
      <w:lvlText w:val="•"/>
      <w:lvlJc w:val="left"/>
      <w:pPr>
        <w:ind w:left="3716" w:hanging="360"/>
      </w:pPr>
    </w:lvl>
    <w:lvl w:ilvl="4">
      <w:start w:val="1"/>
      <w:numFmt w:val="bullet"/>
      <w:lvlText w:val="•"/>
      <w:lvlJc w:val="left"/>
      <w:pPr>
        <w:ind w:left="4675" w:hanging="360"/>
      </w:pPr>
    </w:lvl>
    <w:lvl w:ilvl="5">
      <w:start w:val="1"/>
      <w:numFmt w:val="bullet"/>
      <w:lvlText w:val="•"/>
      <w:lvlJc w:val="left"/>
      <w:pPr>
        <w:ind w:left="5634" w:hanging="360"/>
      </w:pPr>
    </w:lvl>
    <w:lvl w:ilvl="6">
      <w:start w:val="1"/>
      <w:numFmt w:val="bullet"/>
      <w:lvlText w:val="•"/>
      <w:lvlJc w:val="left"/>
      <w:pPr>
        <w:ind w:left="6593" w:hanging="360"/>
      </w:pPr>
    </w:lvl>
    <w:lvl w:ilvl="7">
      <w:start w:val="1"/>
      <w:numFmt w:val="bullet"/>
      <w:lvlText w:val="•"/>
      <w:lvlJc w:val="left"/>
      <w:pPr>
        <w:ind w:left="7552" w:hanging="360"/>
      </w:pPr>
    </w:lvl>
    <w:lvl w:ilvl="8">
      <w:start w:val="1"/>
      <w:numFmt w:val="bullet"/>
      <w:lvlText w:val="•"/>
      <w:lvlJc w:val="left"/>
      <w:pPr>
        <w:ind w:left="8511" w:hanging="360"/>
      </w:pPr>
    </w:lvl>
  </w:abstractNum>
  <w:abstractNum w:abstractNumId="1" w15:restartNumberingAfterBreak="0">
    <w:nsid w:val="52FD6954"/>
    <w:multiLevelType w:val="multilevel"/>
    <w:tmpl w:val="19CE5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DB0966"/>
    <w:multiLevelType w:val="multilevel"/>
    <w:tmpl w:val="6ADA8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88"/>
    <w:rsid w:val="002838AE"/>
    <w:rsid w:val="00695ACB"/>
    <w:rsid w:val="00AF1B88"/>
    <w:rsid w:val="00CF075C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0F9CE"/>
  <w15:docId w15:val="{E8639953-8D2F-3941-9E05-3EF3FC5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"/>
      <w:ind w:right="18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  <w:pPr>
      <w:ind w:left="834"/>
    </w:pPr>
  </w:style>
  <w:style w:type="paragraph" w:styleId="Header">
    <w:name w:val="header"/>
    <w:basedOn w:val="Normal"/>
    <w:link w:val="HeaderChar"/>
    <w:uiPriority w:val="99"/>
    <w:unhideWhenUsed/>
    <w:rsid w:val="002E6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A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64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64A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95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hysedexpress.com/medical-exemption-for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physedexpress.com/notice-of-incomplete-immunization-recor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physedexpress.com/notice-of-incomplete-immunization-record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3JIb9+CIfW0eMZO8yeAQPcKQg==">AMUW2mXs2RXxKLg+2EL87zYOPDo2tYnIM1i85qB1NZdMjMsf4R0kgz7H2nTITN7DC8KMbMiJLUMyU+WwI6lzcZfiq7pZzxoJKKZ7G02IqB6PolPL0YN8dDg=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 Martin</cp:lastModifiedBy>
  <cp:revision>2</cp:revision>
  <dcterms:created xsi:type="dcterms:W3CDTF">2021-07-14T16:34:00Z</dcterms:created>
  <dcterms:modified xsi:type="dcterms:W3CDTF">2022-05-27T12:42:00Z</dcterms:modified>
</cp:coreProperties>
</file>